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D8" w:rsidRDefault="00DB20D8" w:rsidP="009A7D7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E75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УДК </w:t>
      </w:r>
      <w:r w:rsidR="004C4D29" w:rsidRPr="00E75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385.7</w:t>
      </w:r>
    </w:p>
    <w:p w:rsidR="00FF588C" w:rsidRDefault="00FF588C" w:rsidP="00FF588C">
      <w:pPr>
        <w:pStyle w:val="a4"/>
        <w:spacing w:before="0" w:beforeAutospacing="0" w:after="0" w:afterAutospacing="0"/>
        <w:jc w:val="right"/>
        <w:rPr>
          <w:i/>
          <w:sz w:val="28"/>
          <w:szCs w:val="28"/>
        </w:rPr>
      </w:pPr>
      <w:r w:rsidRPr="00737A58">
        <w:rPr>
          <w:i/>
          <w:sz w:val="28"/>
          <w:szCs w:val="28"/>
        </w:rPr>
        <w:t xml:space="preserve">Бабаева З.Ш., </w:t>
      </w:r>
      <w:r>
        <w:rPr>
          <w:i/>
          <w:sz w:val="28"/>
          <w:szCs w:val="28"/>
        </w:rPr>
        <w:t xml:space="preserve">профессор </w:t>
      </w:r>
    </w:p>
    <w:p w:rsidR="00FF588C" w:rsidRDefault="00FF588C" w:rsidP="00FF588C">
      <w:pPr>
        <w:pStyle w:val="a4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кафедры «Бухгалтерский учет»</w:t>
      </w:r>
    </w:p>
    <w:p w:rsidR="00FF588C" w:rsidRDefault="00FF588C" w:rsidP="00FF588C">
      <w:pPr>
        <w:pStyle w:val="a4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ФГБОУ  </w:t>
      </w:r>
      <w:proofErr w:type="gramStart"/>
      <w:r>
        <w:rPr>
          <w:i/>
          <w:sz w:val="28"/>
          <w:szCs w:val="28"/>
        </w:rPr>
        <w:t>ВО</w:t>
      </w:r>
      <w:proofErr w:type="gramEnd"/>
      <w:r>
        <w:rPr>
          <w:i/>
          <w:sz w:val="28"/>
          <w:szCs w:val="28"/>
        </w:rPr>
        <w:t xml:space="preserve">  «Дагестанский государственный университет»</w:t>
      </w:r>
    </w:p>
    <w:p w:rsidR="00FF588C" w:rsidRPr="00737A58" w:rsidRDefault="00FF588C" w:rsidP="00FF588C">
      <w:pPr>
        <w:pStyle w:val="a4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Махачкала, Россия</w:t>
      </w:r>
    </w:p>
    <w:p w:rsidR="00FF588C" w:rsidRPr="00E75062" w:rsidRDefault="00FF588C" w:rsidP="009A7D7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20D8" w:rsidRPr="00E75062" w:rsidRDefault="00DB20D8" w:rsidP="003D018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E75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 w:rsidR="00FF588C" w:rsidRPr="00E75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алоговый</w:t>
      </w:r>
      <w:r w:rsidRPr="00E75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F58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аспект учета расходов на амортизацию</w:t>
      </w:r>
    </w:p>
    <w:p w:rsidR="00955419" w:rsidRPr="009A7D78" w:rsidRDefault="00955419" w:rsidP="003D0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419" w:rsidRPr="00955419" w:rsidRDefault="00FF588C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амортизируемому имуществу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огласно первому абзацу п. 1 ст. 256</w:t>
      </w:r>
      <w:r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 РФ, 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относится имущество, результаты интеллектуальной деятельности и иные объекты интеллектуальной собственности, которые одновременно обладают следующими признаками:</w:t>
      </w:r>
    </w:p>
    <w:p w:rsidR="00955419" w:rsidRPr="00955419" w:rsidRDefault="00955419" w:rsidP="003D01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находятся у налогоплательщика на праве собственности;</w:t>
      </w:r>
    </w:p>
    <w:p w:rsidR="00955419" w:rsidRPr="00955419" w:rsidRDefault="00955419" w:rsidP="003D01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им для извлечения дохода;</w:t>
      </w:r>
    </w:p>
    <w:p w:rsidR="003D018B" w:rsidRDefault="00955419" w:rsidP="003D01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</w:t>
      </w:r>
      <w:proofErr w:type="gramEnd"/>
      <w:r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которых погашается путем начисления амортизации.</w:t>
      </w:r>
    </w:p>
    <w:p w:rsidR="00955419" w:rsidRPr="003D018B" w:rsidRDefault="003D018B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r w:rsidR="00955419"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>амортизаци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 налоговом к</w:t>
      </w:r>
      <w:r w:rsidR="00955419"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>одекс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4C4D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определено, как нам представляется, н</w:t>
      </w:r>
      <w:r w:rsidR="00955419"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 w:rsidR="004C4D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данного </w:t>
      </w:r>
      <w:r w:rsidR="00955419"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определения и в других законах. Как это ни странно,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данный</w:t>
      </w:r>
      <w:r w:rsidR="00955419" w:rsidRPr="003D0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термин не определен также в нормативных актах Министерства финансов.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Об амортизации, в рамках положений Кодекса, можно сказать, что она имеет следующие свойства: может начисляться линейным методом или нелинейным методом (п. 1 ст. 259). И в том и в другом методе в качестве базовой величины используется срок полезного использования (п. 4 ст. 259). Как косвенно следует из п. 3 ст. 258, срок полезного использования для амортизируемого имущества должен быть свыше одного года.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из вышесказанного следует, что амортизация - это величина, которая начисляется ежемесячно в соответствии с выбранным методом, в порядке, определяемом п. 4 ст. 259, в течение периода свыше одного года, и которая относится на расходы в соответствии с </w:t>
      </w:r>
      <w:proofErr w:type="spell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proofErr w:type="spell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. 3 п. 2 ст. 25</w:t>
      </w:r>
      <w:r w:rsidR="00A10823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EC04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указывающими на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имущества, которые не относятся к амортизируемому.</w:t>
      </w:r>
      <w:proofErr w:type="gramEnd"/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Согласно </w:t>
      </w:r>
      <w:proofErr w:type="spell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proofErr w:type="spell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. 6 не амортизируются приобретенные издания (книги, брошюры и иные подобные объекты), произведения искусства.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п. </w:t>
      </w:r>
      <w:r w:rsidR="00EC04E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C04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256 определено, что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имущество, первоначальная стоимость которого составляет до </w:t>
      </w:r>
      <w:r w:rsidR="00EC04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40 000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рублей включительно, не амортизируется. Но, стоимость такого имущества включается в состав материальных расходов в полной сумме по мере ввода его в эксплуатацию.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В п. 1 ст. 257 дается определение основного средства в целях главы 25 Налогового кодекса.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средства - это часть имущества, которое:</w:t>
      </w:r>
    </w:p>
    <w:p w:rsidR="00955419" w:rsidRPr="00955419" w:rsidRDefault="00955419" w:rsidP="004C4D29">
      <w:pPr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срок полезного использования свыше 12 месяцев;</w:t>
      </w:r>
    </w:p>
    <w:p w:rsidR="00955419" w:rsidRPr="00955419" w:rsidRDefault="00955419" w:rsidP="004C4D29">
      <w:pPr>
        <w:numPr>
          <w:ilvl w:val="0"/>
          <w:numId w:val="2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в качестве сре</w:t>
      </w:r>
      <w:proofErr w:type="gram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дств тр</w:t>
      </w:r>
      <w:proofErr w:type="gram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уда для производства и реализации товаров (выполнения работ, оказания услуг) или для управления организацией.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Учитывая положения ст. 256, основные средства могут относиться к амортизируемому имуществу или к имуществу, которое не является амортизируемым, если оно удовлетворяет требованиям п. 2 вышеупомянутой статьи.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Первоначальная стоимость</w:t>
      </w:r>
      <w:r w:rsidR="00EC04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04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амортизируемого</w:t>
      </w:r>
      <w:r w:rsidR="00EC04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основного средства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определяется как сумма расходов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его приобретение, сооружение, изготовление и доведение до состояния, в котором оно пригодно для использования, за исключением сумм налогов, учитываемых в составе расходов в соответствии с настоящим Кодексом.</w:t>
      </w:r>
    </w:p>
    <w:p w:rsidR="00C71401" w:rsidRDefault="00C71401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Так, например, 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приобретение основного средства обошлось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38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000 рублей, а доведение до состояния, в котором оно пригодно для использования, обошлось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000 рублей. Но налогоплательщик учел эти работы как услуги, входящие в состав расходов, а стоимость основного средства также сразу списал на расходы. Кто в этом случае будет прав: налогоплательщик или налоговые органы, которые будут требовать увеличение стоимости основного средства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42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000 рублей и дальнейшего списания этой стоимости через амортизацию? Тут многое зависит от того, 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как конкретно оформлены документы и сможет ли налогоплательщик убедительно объяснить, как ему удалось ввести в эксплуатацию приобретенное основное средство, когда в обычных условиях для этого требуется участие специалиста или даже целой фирмы.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Исключаются налоги, которые в соответствии с Налоговым кодексом учитываются в составе расходов. К таким налогам относится налог на добавленную стоимость. В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соответствии с п. 5 ст. 170 НК РФ банки имеют право включать в затраты, принимаемые к вычету при исчислении налога на прибыль, суммы налога на добавленную стоимость, уплаченные поставщикам по приобретенным товарам (работам, услугам).</w:t>
      </w:r>
    </w:p>
    <w:p w:rsidR="00C71401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 заключается в том, что в соответствии с Правилами ведения бухгалтерского учета в банках основные средства принимаются на баланс в сумме всех фактических затрат, в том числе НДС. В дальнейшем, через амортизацию, суммы налога на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добавленную стоимость переносятся на расходы. 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Первоначальная стоимость амортизируемого имущества изменяется в случаях: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достройки;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дооборудования;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реконструкции;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модернизации;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технического перевооружения;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частичной ликвидации;</w:t>
      </w:r>
    </w:p>
    <w:p w:rsidR="00955419" w:rsidRPr="00955419" w:rsidRDefault="00955419" w:rsidP="004C4D29">
      <w:pPr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иным аналогичным основаниям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видим, в перечне отсутствует переоценка основных средств, которая может проводиться налогоплательщиком в соответствии с законодательством и правилами ведения бухгалтерского учета. Неясно также, можно ли отнести мероприятия по переоценке имущества к иным аналогичным основаниям.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Кодекс содержит определения достройки, дооборудования, модернизации, реконструкции и технического перевооружения. Впервые законодательно определено, какие работы относятся к модернизации. В то же время не разъясняется, что следует относить к иным аналогичным основаниям.</w:t>
      </w:r>
    </w:p>
    <w:p w:rsidR="00C71401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Особо следует обратить внимание на термин техническое перевооружение. Теперь, согласно Кодексу, замену морально устаревшего и физически изношенного оборудования и программного обеспечения новым, более производительным, следует трактовать как мероприятия по техническому перевооружению. 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п. 3 ст. 257 нематериальными активами признаются следующие объекты:</w:t>
      </w:r>
    </w:p>
    <w:p w:rsidR="00955419" w:rsidRPr="00955419" w:rsidRDefault="00955419" w:rsidP="004C4D29">
      <w:pPr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приобретенные или созданные налогоплательщиком результаты интеллектуальной деятельности и иные объекты интеллектуальной собственности (исключительные права на них);</w:t>
      </w:r>
    </w:p>
    <w:p w:rsidR="00955419" w:rsidRPr="00955419" w:rsidRDefault="00955419" w:rsidP="004C4D29">
      <w:pPr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в производстве продукции (выполнении работ, оказания услуг) или для управленческих нужд организации в течение длительного времени (продолжительностью свыше 12 месяцев).</w:t>
      </w:r>
    </w:p>
    <w:p w:rsidR="00955419" w:rsidRPr="00955419" w:rsidRDefault="00955419" w:rsidP="00C7140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следующий абзац уточняет, что для признания нематериального актива необходимо:</w:t>
      </w:r>
    </w:p>
    <w:p w:rsidR="00955419" w:rsidRPr="00955419" w:rsidRDefault="00955419" w:rsidP="004C4D29">
      <w:pPr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способности приносить налогоплательщику экономические выгоды (доход);</w:t>
      </w:r>
    </w:p>
    <w:p w:rsidR="00955419" w:rsidRDefault="00955419" w:rsidP="004C4D29">
      <w:pPr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надлежаще оформленных документов, подтверждающих существование самого нематериального актива и (или) исключительного права у налогоплательщика на результаты интеллектуальной деятельности.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Правилами ведения бухгалтерского учета в кредитных организациях определено, что к нематериальным активам относятся, кроме программ, лицензии, затраты на государственную регистрацию, плата за брокерское место. Однако, в соответствии с требованиями Налогового кодекса, эти объекты не относятся к нематериальным активам.</w:t>
      </w:r>
    </w:p>
    <w:p w:rsidR="00C71401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соответствии со ст. 258 амортизируемое имущество распределяется по амортизационным группам в соответствии со сроками полезного использования. 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основное средство содержится в этой классификации, это еще не означает, что оно относится к амортизируемому имуществу. В том случае, когда его стоимость меньше 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000 рублей, оно не относится к амортизируемому имуществу в соответствии с п. 2 ст. 256.</w:t>
      </w:r>
    </w:p>
    <w:p w:rsidR="00C71401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Классификация, определенная в вышеуказанном постановлении Правительства РФ,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использована для бухгалтерского учета. Но это должно определяться соответствующими органами, регулирующими порядок бухгалтерского учета. Для кредитных организаций таким органом является Банк России.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Первоначальная стоимость основных средств </w:t>
      </w:r>
      <w:proofErr w:type="gram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определяется</w:t>
      </w:r>
      <w:proofErr w:type="gram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 числе вместе с НДС. Применяются также коэффициенты ускоренной амортизации, если они были приняты для конкретного объекта.</w:t>
      </w:r>
    </w:p>
    <w:p w:rsidR="00C71401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Еще раз хотелось бы подчеркнуть, что срок полезного использования объекта определяется налогоплательщиком самостоятельно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55419" w:rsidRPr="00955419" w:rsidRDefault="00C71401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алогоплательщик обязан включить в состав расходов суммы, подлежащие единовременному списанию в связи с различиями в классификации объектов или операций, не подлежащих учету в целях налогообложения в соответствии с требованиями, установленными главой 25 Налогового кодекса. К таким объектам, в частности, относятся активы, числящиеся на счетах учета нематериальных объектов, но не относящихся к таковым в соответствии с положениями указанной главы. Суммы </w:t>
      </w:r>
      <w:proofErr w:type="spellStart"/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недоначисленной</w:t>
      </w:r>
      <w:proofErr w:type="spellEnd"/>
      <w:r w:rsidR="00955419"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амортизации единовременно принимаются в качестве расхода, уменьшающего доходы. Такой порядок определен ст. 10 Федерального закона N 110-ФЗ от 06.08.2001 г.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законом установлена обязанность для налогоплательщика единовременно </w:t>
      </w:r>
      <w:proofErr w:type="gram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списать</w:t>
      </w:r>
      <w:proofErr w:type="gram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суммы </w:t>
      </w:r>
      <w:proofErr w:type="spellStart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недоначисленной</w:t>
      </w:r>
      <w:proofErr w:type="spellEnd"/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амортизации, то отсюда следует, что другого выбора нет. По программным средствам, на которые у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налогоплательщика имеются только права на использование, а также по основным средствам, стоимость которых составляет менее </w:t>
      </w:r>
      <w:r w:rsidR="00C714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40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000 рублей, следует произвести соответствующее списание.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этого, ст. 258 </w:t>
      </w:r>
      <w:r w:rsidR="00AD2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 РФ 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установлено, что срок полезного использования определяется налогоплательщиком самостоятельно. Поэтому, если в соответствии с постановлением Правительства РФ основное средство попадает в группу со сроком полезного использования меньшим, чем это было установлено предыдущей Учетной политикой банка, то налогоплательщик вправе оставить прежний срок.</w:t>
      </w:r>
    </w:p>
    <w:p w:rsidR="00955419" w:rsidRPr="00955419" w:rsidRDefault="00955419" w:rsidP="004C4D2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Расходы от единовременного списания уменьшают доходы от реализации, </w:t>
      </w:r>
      <w:r w:rsidR="00691DC6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рассчитываются в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соответствии с положениями первого абзаца ст. 10 Закона N 110-ФЗ. </w:t>
      </w:r>
      <w:proofErr w:type="gramStart"/>
      <w:r w:rsidR="00691DC6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</w:t>
      </w:r>
      <w:r w:rsidRPr="0095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основная доля доходов банков носит внереализационный характер (проценты по различных договорам и долговым ценным бумагам), то доходы от реализации могут оказаться меньше расходов от единовременного списания.</w:t>
      </w:r>
      <w:proofErr w:type="gramEnd"/>
    </w:p>
    <w:p w:rsidR="00955419" w:rsidRPr="00691DC6" w:rsidRDefault="00955419" w:rsidP="004C4D2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91DC6">
        <w:rPr>
          <w:rFonts w:ascii="Times New Roman" w:hAnsi="Times New Roman" w:cs="Times New Roman"/>
          <w:sz w:val="28"/>
          <w:szCs w:val="28"/>
        </w:rPr>
        <w:t>Литература:</w:t>
      </w:r>
    </w:p>
    <w:p w:rsidR="00EB7818" w:rsidRDefault="00955419" w:rsidP="00EB7818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DC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EB7818" w:rsidRPr="00794A25">
        <w:rPr>
          <w:rFonts w:ascii="Times New Roman" w:hAnsi="Times New Roman" w:cs="Times New Roman"/>
          <w:sz w:val="28"/>
          <w:szCs w:val="28"/>
        </w:rPr>
        <w:t>Бабаева З. Ш. Амортизационная премия: аспекты применения и учета</w:t>
      </w:r>
      <w:r w:rsidR="00EB7818">
        <w:rPr>
          <w:rFonts w:ascii="Times New Roman" w:hAnsi="Times New Roman" w:cs="Times New Roman"/>
          <w:sz w:val="28"/>
          <w:szCs w:val="28"/>
        </w:rPr>
        <w:t xml:space="preserve">// </w:t>
      </w:r>
      <w:r w:rsidR="00691DC6" w:rsidRPr="00691DC6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91DC6" w:rsidRPr="00691DC6">
        <w:rPr>
          <w:rFonts w:ascii="Times New Roman" w:eastAsia="Times New Roman" w:hAnsi="Times New Roman" w:cs="Times New Roman"/>
          <w:sz w:val="28"/>
          <w:szCs w:val="28"/>
        </w:rPr>
        <w:t>рославский педагогический вестник – 2011 – No3 – Том I (Гуманитарные науки</w:t>
      </w:r>
      <w:r w:rsidR="00EB7818">
        <w:rPr>
          <w:rFonts w:ascii="Times New Roman" w:eastAsia="Times New Roman" w:hAnsi="Times New Roman" w:cs="Times New Roman"/>
          <w:sz w:val="28"/>
          <w:szCs w:val="28"/>
        </w:rPr>
        <w:t>). – С. 130-132.</w:t>
      </w:r>
    </w:p>
    <w:p w:rsidR="00955419" w:rsidRPr="00EB7818" w:rsidRDefault="009F156B" w:rsidP="00EB7818">
      <w:pPr>
        <w:spacing w:after="0" w:line="360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B7818" w:rsidRPr="00EB781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EB7818" w:rsidRPr="00EB7818">
        <w:rPr>
          <w:rFonts w:ascii="Times New Roman" w:hAnsi="Times New Roman" w:cs="Times New Roman"/>
          <w:sz w:val="28"/>
        </w:rPr>
        <w:t>Шахбанов</w:t>
      </w:r>
      <w:proofErr w:type="spellEnd"/>
      <w:r w:rsidR="00EB7818" w:rsidRPr="00EB7818">
        <w:rPr>
          <w:rFonts w:ascii="Times New Roman" w:hAnsi="Times New Roman" w:cs="Times New Roman"/>
          <w:sz w:val="28"/>
        </w:rPr>
        <w:t xml:space="preserve"> Р.Б. </w:t>
      </w:r>
      <w:r w:rsidR="00EB7818">
        <w:rPr>
          <w:rFonts w:ascii="Times New Roman" w:hAnsi="Times New Roman" w:cs="Times New Roman"/>
          <w:sz w:val="28"/>
        </w:rPr>
        <w:t xml:space="preserve">Налоговый учет. Учебное пособие. - </w:t>
      </w:r>
      <w:r w:rsidR="00EB7818" w:rsidRPr="00EB7818">
        <w:rPr>
          <w:rFonts w:ascii="Times New Roman" w:hAnsi="Times New Roman" w:cs="Times New Roman"/>
          <w:sz w:val="28"/>
        </w:rPr>
        <w:t xml:space="preserve">Ростов </w:t>
      </w:r>
      <w:proofErr w:type="gramStart"/>
      <w:r w:rsidR="00EB7818" w:rsidRPr="00EB7818">
        <w:rPr>
          <w:rFonts w:ascii="Times New Roman" w:hAnsi="Times New Roman" w:cs="Times New Roman"/>
          <w:sz w:val="28"/>
        </w:rPr>
        <w:t>–н</w:t>
      </w:r>
      <w:proofErr w:type="gramEnd"/>
      <w:r w:rsidR="00EB7818" w:rsidRPr="00EB7818">
        <w:rPr>
          <w:rFonts w:ascii="Times New Roman" w:hAnsi="Times New Roman" w:cs="Times New Roman"/>
          <w:sz w:val="28"/>
        </w:rPr>
        <w:t>а Дону</w:t>
      </w:r>
      <w:r w:rsidR="00EB7818">
        <w:rPr>
          <w:rFonts w:ascii="Times New Roman" w:hAnsi="Times New Roman" w:cs="Times New Roman"/>
          <w:sz w:val="28"/>
        </w:rPr>
        <w:t>:</w:t>
      </w:r>
      <w:r w:rsidR="00EB7818" w:rsidRPr="00EB7818">
        <w:rPr>
          <w:rFonts w:ascii="Times New Roman" w:hAnsi="Times New Roman" w:cs="Times New Roman"/>
          <w:sz w:val="28"/>
        </w:rPr>
        <w:t xml:space="preserve"> Феникс, 2009.</w:t>
      </w:r>
      <w:bookmarkEnd w:id="0"/>
    </w:p>
    <w:sectPr w:rsidR="00955419" w:rsidRPr="00EB7818" w:rsidSect="0045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386"/>
    <w:multiLevelType w:val="multilevel"/>
    <w:tmpl w:val="C76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35EAB"/>
    <w:multiLevelType w:val="multilevel"/>
    <w:tmpl w:val="33E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E745C"/>
    <w:multiLevelType w:val="multilevel"/>
    <w:tmpl w:val="094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05206"/>
    <w:multiLevelType w:val="multilevel"/>
    <w:tmpl w:val="D7F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5419"/>
    <w:rsid w:val="00152DF4"/>
    <w:rsid w:val="003D018B"/>
    <w:rsid w:val="0045783B"/>
    <w:rsid w:val="004C4D29"/>
    <w:rsid w:val="00691DC6"/>
    <w:rsid w:val="00694D19"/>
    <w:rsid w:val="0090206E"/>
    <w:rsid w:val="00955419"/>
    <w:rsid w:val="009A7D78"/>
    <w:rsid w:val="009F156B"/>
    <w:rsid w:val="00A10823"/>
    <w:rsid w:val="00AD2D44"/>
    <w:rsid w:val="00C24F13"/>
    <w:rsid w:val="00C71401"/>
    <w:rsid w:val="00DB20D8"/>
    <w:rsid w:val="00E4195A"/>
    <w:rsid w:val="00E75062"/>
    <w:rsid w:val="00EB7818"/>
    <w:rsid w:val="00EC04E5"/>
    <w:rsid w:val="00F125A4"/>
    <w:rsid w:val="00F94DA1"/>
    <w:rsid w:val="00FF5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19"/>
  </w:style>
  <w:style w:type="paragraph" w:styleId="1">
    <w:name w:val="heading 1"/>
    <w:basedOn w:val="a"/>
    <w:link w:val="10"/>
    <w:uiPriority w:val="9"/>
    <w:qFormat/>
    <w:rsid w:val="0095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4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955419"/>
  </w:style>
  <w:style w:type="character" w:styleId="a3">
    <w:name w:val="Hyperlink"/>
    <w:basedOn w:val="a0"/>
    <w:uiPriority w:val="99"/>
    <w:unhideWhenUsed/>
    <w:rsid w:val="0095541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5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4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955419"/>
  </w:style>
  <w:style w:type="character" w:styleId="a3">
    <w:name w:val="Hyperlink"/>
    <w:basedOn w:val="a0"/>
    <w:uiPriority w:val="99"/>
    <w:unhideWhenUsed/>
    <w:rsid w:val="009554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8171-293F-418B-BFD8-263B03BC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1080</Words>
  <Characters>8321</Characters>
  <Application>Microsoft Office Word</Application>
  <DocSecurity>0</DocSecurity>
  <Lines>145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Zaur</dc:creator>
  <cp:lastModifiedBy>user</cp:lastModifiedBy>
  <cp:revision>2</cp:revision>
  <dcterms:created xsi:type="dcterms:W3CDTF">2016-12-06T22:01:00Z</dcterms:created>
  <dcterms:modified xsi:type="dcterms:W3CDTF">2016-12-06T22:01:00Z</dcterms:modified>
</cp:coreProperties>
</file>