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E8" w:rsidRPr="008734CA" w:rsidRDefault="00D75E12" w:rsidP="005862A8">
      <w:pPr>
        <w:spacing w:after="0" w:line="360" w:lineRule="auto"/>
        <w:ind w:left="284"/>
        <w:rPr>
          <w:rFonts w:ascii="Times New Roman" w:hAnsi="Times New Roman" w:cs="Times New Roman"/>
          <w:sz w:val="28"/>
          <w:szCs w:val="28"/>
        </w:rPr>
      </w:pPr>
      <w:r w:rsidRPr="00300CAC">
        <w:rPr>
          <w:rFonts w:ascii="Times New Roman" w:hAnsi="Times New Roman" w:cs="Times New Roman"/>
          <w:sz w:val="28"/>
          <w:szCs w:val="28"/>
        </w:rPr>
        <w:t>УДК.</w:t>
      </w:r>
      <w:r w:rsidR="00300CAC" w:rsidRPr="008734CA">
        <w:rPr>
          <w:rFonts w:ascii="Times New Roman" w:hAnsi="Times New Roman" w:cs="Times New Roman"/>
          <w:sz w:val="28"/>
          <w:szCs w:val="28"/>
        </w:rPr>
        <w:t>657.1.012:336.2</w:t>
      </w:r>
    </w:p>
    <w:p w:rsidR="003F2E26" w:rsidRDefault="00FF4A01" w:rsidP="00CB1D8D">
      <w:pPr>
        <w:spacing w:after="0" w:line="240" w:lineRule="auto"/>
        <w:ind w:left="284"/>
        <w:jc w:val="right"/>
        <w:rPr>
          <w:rFonts w:ascii="Times New Roman" w:hAnsi="Times New Roman" w:cs="Times New Roman"/>
          <w:i/>
          <w:sz w:val="28"/>
          <w:szCs w:val="28"/>
        </w:rPr>
      </w:pPr>
      <w:proofErr w:type="spellStart"/>
      <w:r>
        <w:rPr>
          <w:rFonts w:ascii="Times New Roman" w:hAnsi="Times New Roman" w:cs="Times New Roman"/>
          <w:i/>
          <w:sz w:val="28"/>
          <w:szCs w:val="28"/>
        </w:rPr>
        <w:t>Багандов</w:t>
      </w:r>
      <w:proofErr w:type="spellEnd"/>
      <w:r>
        <w:rPr>
          <w:rFonts w:ascii="Times New Roman" w:hAnsi="Times New Roman" w:cs="Times New Roman"/>
          <w:i/>
          <w:sz w:val="28"/>
          <w:szCs w:val="28"/>
        </w:rPr>
        <w:t xml:space="preserve"> И.М</w:t>
      </w:r>
      <w:r w:rsidR="003F2E26">
        <w:rPr>
          <w:rFonts w:ascii="Times New Roman" w:hAnsi="Times New Roman" w:cs="Times New Roman"/>
          <w:i/>
          <w:sz w:val="28"/>
          <w:szCs w:val="28"/>
        </w:rPr>
        <w:t>., магистр</w:t>
      </w:r>
    </w:p>
    <w:p w:rsidR="003F2E26" w:rsidRPr="00550DE8" w:rsidRDefault="003F2E26" w:rsidP="00CB1D8D">
      <w:pPr>
        <w:spacing w:after="0" w:line="240" w:lineRule="auto"/>
        <w:ind w:left="284"/>
        <w:jc w:val="right"/>
        <w:rPr>
          <w:rFonts w:ascii="Times New Roman" w:hAnsi="Times New Roman" w:cs="Times New Roman"/>
          <w:i/>
          <w:sz w:val="28"/>
          <w:szCs w:val="28"/>
        </w:rPr>
      </w:pPr>
      <w:r w:rsidRPr="00550DE8">
        <w:rPr>
          <w:rFonts w:ascii="Times New Roman" w:hAnsi="Times New Roman" w:cs="Times New Roman"/>
          <w:i/>
          <w:sz w:val="28"/>
          <w:szCs w:val="28"/>
        </w:rPr>
        <w:t>кафедры «Бухгалтерский учет»</w:t>
      </w:r>
    </w:p>
    <w:p w:rsidR="00550DE8" w:rsidRPr="00550DE8" w:rsidRDefault="00550DE8" w:rsidP="00CB1D8D">
      <w:pPr>
        <w:spacing w:after="0" w:line="240" w:lineRule="auto"/>
        <w:ind w:left="284"/>
        <w:jc w:val="right"/>
        <w:rPr>
          <w:rFonts w:ascii="Times New Roman" w:hAnsi="Times New Roman" w:cs="Times New Roman"/>
          <w:i/>
          <w:sz w:val="28"/>
          <w:szCs w:val="28"/>
        </w:rPr>
      </w:pPr>
      <w:proofErr w:type="spellStart"/>
      <w:r w:rsidRPr="00550DE8">
        <w:rPr>
          <w:rFonts w:ascii="Times New Roman" w:hAnsi="Times New Roman" w:cs="Times New Roman"/>
          <w:i/>
          <w:sz w:val="28"/>
          <w:szCs w:val="28"/>
        </w:rPr>
        <w:t>Омарова</w:t>
      </w:r>
      <w:proofErr w:type="spellEnd"/>
      <w:r w:rsidRPr="00550DE8">
        <w:rPr>
          <w:rFonts w:ascii="Times New Roman" w:hAnsi="Times New Roman" w:cs="Times New Roman"/>
          <w:i/>
          <w:sz w:val="28"/>
          <w:szCs w:val="28"/>
        </w:rPr>
        <w:t xml:space="preserve"> О.Ф., профессор</w:t>
      </w:r>
    </w:p>
    <w:p w:rsidR="00550DE8" w:rsidRPr="00550DE8" w:rsidRDefault="00550DE8" w:rsidP="00CB1D8D">
      <w:pPr>
        <w:spacing w:after="0" w:line="240" w:lineRule="auto"/>
        <w:ind w:left="284"/>
        <w:jc w:val="right"/>
        <w:rPr>
          <w:rFonts w:ascii="Times New Roman" w:hAnsi="Times New Roman" w:cs="Times New Roman"/>
          <w:i/>
          <w:sz w:val="28"/>
          <w:szCs w:val="28"/>
        </w:rPr>
      </w:pPr>
      <w:r w:rsidRPr="00550DE8">
        <w:rPr>
          <w:rFonts w:ascii="Times New Roman" w:hAnsi="Times New Roman" w:cs="Times New Roman"/>
          <w:i/>
          <w:sz w:val="28"/>
          <w:szCs w:val="28"/>
        </w:rPr>
        <w:t>кафедры «Бухгалтерский учет»</w:t>
      </w:r>
    </w:p>
    <w:p w:rsidR="00550DE8" w:rsidRPr="00550DE8" w:rsidRDefault="00550DE8" w:rsidP="00CB1D8D">
      <w:pPr>
        <w:spacing w:after="0" w:line="240" w:lineRule="auto"/>
        <w:ind w:left="284"/>
        <w:jc w:val="right"/>
        <w:rPr>
          <w:rFonts w:ascii="Times New Roman" w:hAnsi="Times New Roman" w:cs="Times New Roman"/>
          <w:i/>
          <w:sz w:val="28"/>
          <w:szCs w:val="28"/>
        </w:rPr>
      </w:pPr>
      <w:r w:rsidRPr="00550DE8">
        <w:rPr>
          <w:rFonts w:ascii="Times New Roman" w:hAnsi="Times New Roman" w:cs="Times New Roman"/>
          <w:i/>
          <w:sz w:val="28"/>
          <w:szCs w:val="28"/>
        </w:rPr>
        <w:t xml:space="preserve">ФГБОУ </w:t>
      </w:r>
      <w:proofErr w:type="gramStart"/>
      <w:r w:rsidRPr="00550DE8">
        <w:rPr>
          <w:rFonts w:ascii="Times New Roman" w:hAnsi="Times New Roman" w:cs="Times New Roman"/>
          <w:i/>
          <w:sz w:val="28"/>
          <w:szCs w:val="28"/>
        </w:rPr>
        <w:t>ВО</w:t>
      </w:r>
      <w:proofErr w:type="gramEnd"/>
      <w:r w:rsidRPr="00550DE8">
        <w:rPr>
          <w:rFonts w:ascii="Times New Roman" w:hAnsi="Times New Roman" w:cs="Times New Roman"/>
          <w:i/>
          <w:sz w:val="28"/>
          <w:szCs w:val="28"/>
        </w:rPr>
        <w:t xml:space="preserve"> «Дагестанский государственный университет»</w:t>
      </w:r>
    </w:p>
    <w:p w:rsidR="00550DE8" w:rsidRDefault="00550DE8" w:rsidP="00CB1D8D">
      <w:pPr>
        <w:spacing w:after="0" w:line="240" w:lineRule="auto"/>
        <w:ind w:left="284"/>
        <w:jc w:val="right"/>
        <w:rPr>
          <w:rFonts w:ascii="Times New Roman" w:hAnsi="Times New Roman" w:cs="Times New Roman"/>
          <w:i/>
          <w:sz w:val="28"/>
          <w:szCs w:val="28"/>
        </w:rPr>
      </w:pPr>
      <w:r w:rsidRPr="00550DE8">
        <w:rPr>
          <w:rFonts w:ascii="Times New Roman" w:hAnsi="Times New Roman" w:cs="Times New Roman"/>
          <w:i/>
          <w:sz w:val="28"/>
          <w:szCs w:val="28"/>
        </w:rPr>
        <w:t>Махачкала, Россия</w:t>
      </w:r>
    </w:p>
    <w:p w:rsidR="00336012" w:rsidRDefault="00336012" w:rsidP="00550DE8">
      <w:pPr>
        <w:spacing w:after="0" w:line="360" w:lineRule="auto"/>
        <w:ind w:left="284"/>
        <w:jc w:val="right"/>
        <w:rPr>
          <w:rFonts w:ascii="Times New Roman" w:hAnsi="Times New Roman" w:cs="Times New Roman"/>
          <w:i/>
          <w:sz w:val="28"/>
          <w:szCs w:val="28"/>
        </w:rPr>
      </w:pPr>
    </w:p>
    <w:p w:rsidR="00FF4A01" w:rsidRPr="00FF4A01" w:rsidRDefault="00FF4A01" w:rsidP="00FF4A01">
      <w:pPr>
        <w:widowControl w:val="0"/>
        <w:tabs>
          <w:tab w:val="left" w:pos="8931"/>
        </w:tabs>
        <w:spacing w:after="0" w:line="360" w:lineRule="auto"/>
        <w:jc w:val="center"/>
        <w:rPr>
          <w:rFonts w:ascii="Arial" w:eastAsia="Arial" w:hAnsi="Arial" w:cs="Arial"/>
          <w:b/>
          <w:color w:val="000000"/>
        </w:rPr>
      </w:pPr>
      <w:r>
        <w:rPr>
          <w:rFonts w:ascii="Times New Roman" w:eastAsia="Times New Roman" w:hAnsi="Times New Roman" w:cs="Times New Roman"/>
          <w:b/>
          <w:color w:val="000000"/>
          <w:sz w:val="28"/>
          <w:szCs w:val="28"/>
        </w:rPr>
        <w:t>Особенности бухгалтерского у</w:t>
      </w:r>
      <w:r w:rsidRPr="00FF4A01">
        <w:rPr>
          <w:rFonts w:ascii="Times New Roman" w:eastAsia="Times New Roman" w:hAnsi="Times New Roman" w:cs="Times New Roman"/>
          <w:b/>
          <w:color w:val="000000"/>
          <w:sz w:val="28"/>
          <w:szCs w:val="28"/>
        </w:rPr>
        <w:t>чет</w:t>
      </w:r>
      <w:r>
        <w:rPr>
          <w:rFonts w:ascii="Times New Roman" w:eastAsia="Times New Roman" w:hAnsi="Times New Roman" w:cs="Times New Roman"/>
          <w:b/>
          <w:color w:val="000000"/>
          <w:sz w:val="28"/>
          <w:szCs w:val="28"/>
        </w:rPr>
        <w:t>а</w:t>
      </w:r>
      <w:r w:rsidRPr="00FF4A01">
        <w:rPr>
          <w:rFonts w:ascii="Times New Roman" w:eastAsia="Times New Roman" w:hAnsi="Times New Roman" w:cs="Times New Roman"/>
          <w:b/>
          <w:color w:val="000000"/>
          <w:sz w:val="28"/>
          <w:szCs w:val="28"/>
        </w:rPr>
        <w:t xml:space="preserve"> выдачи и погашения кредитов банка</w:t>
      </w:r>
    </w:p>
    <w:p w:rsidR="00FF4A01" w:rsidRPr="00FF4A01" w:rsidRDefault="00FF4A01" w:rsidP="00FF4A01">
      <w:pPr>
        <w:widowControl w:val="0"/>
        <w:spacing w:after="0" w:line="360" w:lineRule="auto"/>
        <w:jc w:val="both"/>
        <w:rPr>
          <w:rFonts w:ascii="Arial" w:eastAsia="Arial" w:hAnsi="Arial" w:cs="Arial"/>
          <w:color w:val="000000"/>
        </w:rPr>
      </w:pPr>
      <w:r w:rsidRPr="00FF4A01">
        <w:rPr>
          <w:rFonts w:ascii="Arial" w:eastAsia="Arial" w:hAnsi="Arial" w:cs="Arial"/>
          <w:color w:val="000000"/>
        </w:rPr>
        <w:tab/>
      </w:r>
      <w:r w:rsidRPr="00FF4A01">
        <w:rPr>
          <w:rFonts w:ascii="Times New Roman" w:eastAsia="Times New Roman" w:hAnsi="Times New Roman" w:cs="Times New Roman"/>
          <w:color w:val="000000"/>
          <w:sz w:val="28"/>
          <w:szCs w:val="28"/>
        </w:rPr>
        <w:t xml:space="preserve">Порядок учета кредитных операций банка определяется Положением 385-П, в соответствии с которым для учета выдачи и погашения кредитов банка предусматриваются счета 4 раздела Плана счетов: активные балансовые счета первого порядка 441-458, в том числе: </w:t>
      </w:r>
    </w:p>
    <w:p w:rsidR="00FF4A01" w:rsidRPr="00FF4A01" w:rsidRDefault="00FF4A01" w:rsidP="00FF4A01">
      <w:pPr>
        <w:widowControl w:val="0"/>
        <w:numPr>
          <w:ilvl w:val="0"/>
          <w:numId w:val="37"/>
        </w:numPr>
        <w:tabs>
          <w:tab w:val="left" w:pos="8931"/>
        </w:tabs>
        <w:spacing w:after="0" w:line="360" w:lineRule="auto"/>
        <w:ind w:hanging="360"/>
        <w:contextualSpacing/>
        <w:jc w:val="both"/>
        <w:rPr>
          <w:rFonts w:ascii="Arial" w:eastAsia="Arial" w:hAnsi="Arial" w:cs="Arial"/>
          <w:color w:val="000000"/>
          <w:sz w:val="28"/>
          <w:szCs w:val="28"/>
        </w:rPr>
      </w:pPr>
      <w:r w:rsidRPr="00FF4A01">
        <w:rPr>
          <w:rFonts w:ascii="Times New Roman" w:eastAsia="Times New Roman" w:hAnsi="Times New Roman" w:cs="Times New Roman"/>
          <w:color w:val="000000"/>
          <w:sz w:val="28"/>
          <w:szCs w:val="28"/>
        </w:rPr>
        <w:t xml:space="preserve">кредиты физических лиц на счетах 455 и 457, </w:t>
      </w:r>
    </w:p>
    <w:p w:rsidR="00FF4A01" w:rsidRPr="00FF4A01" w:rsidRDefault="00FF4A01" w:rsidP="00FF4A01">
      <w:pPr>
        <w:widowControl w:val="0"/>
        <w:numPr>
          <w:ilvl w:val="0"/>
          <w:numId w:val="37"/>
        </w:numPr>
        <w:tabs>
          <w:tab w:val="left" w:pos="8931"/>
        </w:tabs>
        <w:spacing w:after="0" w:line="360" w:lineRule="auto"/>
        <w:ind w:hanging="360"/>
        <w:contextualSpacing/>
        <w:jc w:val="both"/>
        <w:rPr>
          <w:rFonts w:ascii="Arial" w:eastAsia="Arial" w:hAnsi="Arial" w:cs="Arial"/>
          <w:color w:val="000000"/>
          <w:sz w:val="28"/>
          <w:szCs w:val="28"/>
        </w:rPr>
      </w:pPr>
      <w:r w:rsidRPr="00FF4A01">
        <w:rPr>
          <w:rFonts w:ascii="Times New Roman" w:eastAsia="Times New Roman" w:hAnsi="Times New Roman" w:cs="Times New Roman"/>
          <w:color w:val="000000"/>
          <w:sz w:val="28"/>
          <w:szCs w:val="28"/>
        </w:rPr>
        <w:t xml:space="preserve">юридических </w:t>
      </w:r>
      <w:proofErr w:type="spellStart"/>
      <w:r w:rsidRPr="00FF4A01">
        <w:rPr>
          <w:rFonts w:ascii="Times New Roman" w:eastAsia="Times New Roman" w:hAnsi="Times New Roman" w:cs="Times New Roman"/>
          <w:color w:val="000000"/>
          <w:sz w:val="28"/>
          <w:szCs w:val="28"/>
        </w:rPr>
        <w:t>лиц-на</w:t>
      </w:r>
      <w:proofErr w:type="spellEnd"/>
      <w:r w:rsidRPr="00FF4A01">
        <w:rPr>
          <w:rFonts w:ascii="Times New Roman" w:eastAsia="Times New Roman" w:hAnsi="Times New Roman" w:cs="Times New Roman"/>
          <w:color w:val="000000"/>
          <w:sz w:val="28"/>
          <w:szCs w:val="28"/>
        </w:rPr>
        <w:t xml:space="preserve"> </w:t>
      </w:r>
      <w:proofErr w:type="gramStart"/>
      <w:r w:rsidRPr="00FF4A01">
        <w:rPr>
          <w:rFonts w:ascii="Times New Roman" w:eastAsia="Times New Roman" w:hAnsi="Times New Roman" w:cs="Times New Roman"/>
          <w:color w:val="000000"/>
          <w:sz w:val="28"/>
          <w:szCs w:val="28"/>
        </w:rPr>
        <w:t>счетах</w:t>
      </w:r>
      <w:proofErr w:type="gramEnd"/>
      <w:r w:rsidRPr="00FF4A01">
        <w:rPr>
          <w:rFonts w:ascii="Times New Roman" w:eastAsia="Times New Roman" w:hAnsi="Times New Roman" w:cs="Times New Roman"/>
          <w:color w:val="000000"/>
          <w:sz w:val="28"/>
          <w:szCs w:val="28"/>
        </w:rPr>
        <w:t xml:space="preserve"> 441-454,456, </w:t>
      </w:r>
    </w:p>
    <w:p w:rsidR="00FF4A01" w:rsidRPr="00FF4A01" w:rsidRDefault="00FF4A01" w:rsidP="00FF4A01">
      <w:pPr>
        <w:widowControl w:val="0"/>
        <w:numPr>
          <w:ilvl w:val="0"/>
          <w:numId w:val="37"/>
        </w:numPr>
        <w:tabs>
          <w:tab w:val="left" w:pos="8931"/>
        </w:tabs>
        <w:spacing w:after="0" w:line="360" w:lineRule="auto"/>
        <w:ind w:hanging="360"/>
        <w:contextualSpacing/>
        <w:jc w:val="both"/>
        <w:rPr>
          <w:rFonts w:ascii="Arial" w:eastAsia="Arial" w:hAnsi="Arial" w:cs="Arial"/>
          <w:color w:val="000000"/>
          <w:sz w:val="28"/>
          <w:szCs w:val="28"/>
        </w:rPr>
      </w:pPr>
      <w:r w:rsidRPr="00FF4A01">
        <w:rPr>
          <w:rFonts w:ascii="Times New Roman" w:eastAsia="Times New Roman" w:hAnsi="Times New Roman" w:cs="Times New Roman"/>
          <w:color w:val="000000"/>
          <w:sz w:val="28"/>
          <w:szCs w:val="28"/>
        </w:rPr>
        <w:t xml:space="preserve">просроченная задолженность на счете 458.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Балансовые счета первого порядка открываются юридическим лицам в зависимости от их классификационного подразделения на финансовые организации, коммерческие и некоммерческие, а внутри каждой классификационной группы - в зависимости от формы собственности: федеральной, государственной (</w:t>
      </w:r>
      <w:proofErr w:type="gramStart"/>
      <w:r w:rsidRPr="00FF4A01">
        <w:rPr>
          <w:rFonts w:ascii="Times New Roman" w:eastAsia="Times New Roman" w:hAnsi="Times New Roman" w:cs="Times New Roman"/>
          <w:color w:val="000000"/>
          <w:sz w:val="28"/>
          <w:szCs w:val="28"/>
        </w:rPr>
        <w:t>кроме</w:t>
      </w:r>
      <w:proofErr w:type="gramEnd"/>
      <w:r w:rsidRPr="00FF4A01">
        <w:rPr>
          <w:rFonts w:ascii="Times New Roman" w:eastAsia="Times New Roman" w:hAnsi="Times New Roman" w:cs="Times New Roman"/>
          <w:color w:val="000000"/>
          <w:sz w:val="28"/>
          <w:szCs w:val="28"/>
        </w:rPr>
        <w:t xml:space="preserve"> федеральной), негосударственной.</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Каждый из указанных счетов первого порядка подразделяется на счета второго порядка, отражающие сроки предоставленного кредита. Так, например, по счету первого порядка 441 «Кредиты, предоставленные Минфину России», счета второго счета порядка открываются по срокам предоставления кредитов:</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44101- на один,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44102- на срок от двух до семи дней,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44103-от восьми до 30 дней,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44104-от 31 до 90 дней,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44105-от 91 до 180 дней,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44106-от 181 дня до одного года,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lastRenderedPageBreak/>
        <w:t>44107-от</w:t>
      </w:r>
      <w:r w:rsidRPr="00FF4A01">
        <w:rPr>
          <w:rFonts w:ascii="Arial" w:eastAsia="Arial" w:hAnsi="Arial" w:cs="Arial"/>
          <w:color w:val="000000"/>
          <w:sz w:val="23"/>
          <w:szCs w:val="23"/>
        </w:rPr>
        <w:t xml:space="preserve"> </w:t>
      </w:r>
      <w:r w:rsidRPr="00FF4A01">
        <w:rPr>
          <w:rFonts w:ascii="Times New Roman" w:eastAsia="Times New Roman" w:hAnsi="Times New Roman" w:cs="Times New Roman"/>
          <w:color w:val="000000"/>
          <w:sz w:val="28"/>
          <w:szCs w:val="28"/>
        </w:rPr>
        <w:t xml:space="preserve">одного года до трех лет,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44108- на свыше срок с трех лет,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44109-до востребования.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Дебетовое сальдо по этим счетам показывает сумму непогашенной клиентами банка срочной ссудной задолженности по предоставленным кредитам. Оборот по дебету каждого из названных счетов означает выданные в отчетном периоде кредиты; оборот по кредит</w:t>
      </w:r>
      <w:proofErr w:type="gramStart"/>
      <w:r w:rsidRPr="00FF4A01">
        <w:rPr>
          <w:rFonts w:ascii="Times New Roman" w:eastAsia="Times New Roman" w:hAnsi="Times New Roman" w:cs="Times New Roman"/>
          <w:color w:val="000000"/>
          <w:sz w:val="28"/>
          <w:szCs w:val="28"/>
        </w:rPr>
        <w:t>у-</w:t>
      </w:r>
      <w:proofErr w:type="gramEnd"/>
      <w:r w:rsidRPr="00FF4A01">
        <w:rPr>
          <w:rFonts w:ascii="Times New Roman" w:eastAsia="Times New Roman" w:hAnsi="Times New Roman" w:cs="Times New Roman"/>
          <w:color w:val="000000"/>
          <w:sz w:val="28"/>
          <w:szCs w:val="28"/>
        </w:rPr>
        <w:t xml:space="preserve"> сумму погашенной судной задолженности или остаток долга, перенесенный на счет просроченных суд 458, который открыт на балансе банка для учета всей просроченной ссудной задолженности его клиентов.</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 Аналитический учет ссудной задолженности осуществляется в банках в разрезе заемщиков по каждому кредитному договору.</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Учет обеспечения предоставленных кредитов ведется на </w:t>
      </w:r>
      <w:proofErr w:type="spellStart"/>
      <w:r w:rsidRPr="00FF4A01">
        <w:rPr>
          <w:rFonts w:ascii="Times New Roman" w:eastAsia="Times New Roman" w:hAnsi="Times New Roman" w:cs="Times New Roman"/>
          <w:color w:val="000000"/>
          <w:sz w:val="28"/>
          <w:szCs w:val="28"/>
        </w:rPr>
        <w:t>внебалансовых</w:t>
      </w:r>
      <w:proofErr w:type="spellEnd"/>
      <w:r w:rsidRPr="00FF4A01">
        <w:rPr>
          <w:rFonts w:ascii="Times New Roman" w:eastAsia="Times New Roman" w:hAnsi="Times New Roman" w:cs="Times New Roman"/>
          <w:color w:val="000000"/>
          <w:sz w:val="28"/>
          <w:szCs w:val="28"/>
        </w:rPr>
        <w:t xml:space="preserve"> счетах второго порядка к счету 913 «Обеспечение, полученное по </w:t>
      </w:r>
      <w:proofErr w:type="gramStart"/>
      <w:r w:rsidRPr="00FF4A01">
        <w:rPr>
          <w:rFonts w:ascii="Times New Roman" w:eastAsia="Times New Roman" w:hAnsi="Times New Roman" w:cs="Times New Roman"/>
          <w:color w:val="000000"/>
          <w:sz w:val="28"/>
          <w:szCs w:val="28"/>
        </w:rPr>
        <w:t>размещенным</w:t>
      </w:r>
      <w:proofErr w:type="gramEnd"/>
      <w:r w:rsidRPr="00FF4A01">
        <w:rPr>
          <w:rFonts w:ascii="Times New Roman" w:eastAsia="Times New Roman" w:hAnsi="Times New Roman" w:cs="Times New Roman"/>
          <w:color w:val="000000"/>
          <w:sz w:val="28"/>
          <w:szCs w:val="28"/>
        </w:rPr>
        <w:t xml:space="preserve"> средства, и условные обязательства кредитного характера»: </w:t>
      </w:r>
    </w:p>
    <w:p w:rsidR="00FF4A01" w:rsidRPr="00FF4A01" w:rsidRDefault="00FF4A01" w:rsidP="00FF4A01">
      <w:pPr>
        <w:widowControl w:val="0"/>
        <w:numPr>
          <w:ilvl w:val="0"/>
          <w:numId w:val="38"/>
        </w:numPr>
        <w:tabs>
          <w:tab w:val="left" w:pos="8931"/>
        </w:tabs>
        <w:spacing w:after="0" w:line="360" w:lineRule="auto"/>
        <w:contextualSpacing/>
        <w:jc w:val="both"/>
        <w:rPr>
          <w:rFonts w:ascii="Arial" w:eastAsia="Arial" w:hAnsi="Arial" w:cs="Arial"/>
          <w:color w:val="000000"/>
        </w:rPr>
      </w:pPr>
      <w:r w:rsidRPr="00FF4A01">
        <w:rPr>
          <w:rFonts w:ascii="Times New Roman" w:eastAsia="Times New Roman" w:hAnsi="Times New Roman" w:cs="Times New Roman"/>
          <w:color w:val="000000"/>
          <w:sz w:val="28"/>
          <w:szCs w:val="28"/>
        </w:rPr>
        <w:t>91311 «</w:t>
      </w:r>
      <w:r w:rsidRPr="00FF4A01">
        <w:rPr>
          <w:rFonts w:ascii="Times New Roman" w:eastAsia="Times New Roman" w:hAnsi="Times New Roman" w:cs="Times New Roman"/>
          <w:color w:val="000000"/>
          <w:sz w:val="28"/>
          <w:szCs w:val="28"/>
          <w:highlight w:val="white"/>
        </w:rPr>
        <w:t>Ценные бумаги, принятые в обеспечение по размещенным средствам» (П);</w:t>
      </w:r>
      <w:r w:rsidRPr="00FF4A01">
        <w:rPr>
          <w:rFonts w:ascii="Times New Roman" w:eastAsia="Times New Roman" w:hAnsi="Times New Roman" w:cs="Times New Roman"/>
          <w:color w:val="000000"/>
          <w:sz w:val="28"/>
          <w:szCs w:val="28"/>
        </w:rPr>
        <w:t xml:space="preserve">  </w:t>
      </w:r>
    </w:p>
    <w:p w:rsidR="00FF4A01" w:rsidRPr="00FF4A01" w:rsidRDefault="00FF4A01" w:rsidP="00FF4A01">
      <w:pPr>
        <w:widowControl w:val="0"/>
        <w:numPr>
          <w:ilvl w:val="0"/>
          <w:numId w:val="38"/>
        </w:numPr>
        <w:tabs>
          <w:tab w:val="left" w:pos="8931"/>
        </w:tabs>
        <w:spacing w:after="0" w:line="360" w:lineRule="auto"/>
        <w:contextualSpacing/>
        <w:jc w:val="both"/>
        <w:rPr>
          <w:rFonts w:ascii="Arial" w:eastAsia="Arial" w:hAnsi="Arial" w:cs="Arial"/>
          <w:color w:val="000000"/>
        </w:rPr>
      </w:pPr>
      <w:r w:rsidRPr="00FF4A01">
        <w:rPr>
          <w:rFonts w:ascii="Times New Roman" w:eastAsia="Times New Roman" w:hAnsi="Times New Roman" w:cs="Times New Roman"/>
          <w:color w:val="000000"/>
          <w:sz w:val="28"/>
          <w:szCs w:val="28"/>
        </w:rPr>
        <w:t>91312 «</w:t>
      </w:r>
      <w:r w:rsidRPr="00FF4A01">
        <w:rPr>
          <w:rFonts w:ascii="Times New Roman" w:eastAsia="Times New Roman" w:hAnsi="Times New Roman" w:cs="Times New Roman"/>
          <w:color w:val="000000"/>
          <w:sz w:val="28"/>
          <w:szCs w:val="28"/>
          <w:highlight w:val="white"/>
        </w:rPr>
        <w:t>Имущество, принятое в обеспечение по размещенным средствам, кроме ценных бумаг и драгоценных металлов» (П);</w:t>
      </w:r>
      <w:r w:rsidRPr="00FF4A01">
        <w:rPr>
          <w:rFonts w:ascii="Times New Roman" w:eastAsia="Times New Roman" w:hAnsi="Times New Roman" w:cs="Times New Roman"/>
          <w:color w:val="000000"/>
          <w:sz w:val="28"/>
          <w:szCs w:val="28"/>
        </w:rPr>
        <w:t xml:space="preserve"> </w:t>
      </w:r>
    </w:p>
    <w:p w:rsidR="00FF4A01" w:rsidRPr="00FF4A01" w:rsidRDefault="00FF4A01" w:rsidP="00FF4A01">
      <w:pPr>
        <w:widowControl w:val="0"/>
        <w:numPr>
          <w:ilvl w:val="0"/>
          <w:numId w:val="38"/>
        </w:numPr>
        <w:tabs>
          <w:tab w:val="left" w:pos="8931"/>
        </w:tabs>
        <w:spacing w:after="0" w:line="360" w:lineRule="auto"/>
        <w:contextualSpacing/>
        <w:jc w:val="both"/>
        <w:rPr>
          <w:rFonts w:ascii="Arial" w:eastAsia="Arial" w:hAnsi="Arial" w:cs="Arial"/>
          <w:color w:val="000000"/>
        </w:rPr>
      </w:pPr>
      <w:r w:rsidRPr="00FF4A01">
        <w:rPr>
          <w:rFonts w:ascii="Times New Roman" w:eastAsia="Times New Roman" w:hAnsi="Times New Roman" w:cs="Times New Roman"/>
          <w:color w:val="000000"/>
          <w:sz w:val="28"/>
          <w:szCs w:val="28"/>
        </w:rPr>
        <w:t>91313 «</w:t>
      </w:r>
      <w:r w:rsidRPr="00FF4A01">
        <w:rPr>
          <w:rFonts w:ascii="Times New Roman" w:eastAsia="Times New Roman" w:hAnsi="Times New Roman" w:cs="Times New Roman"/>
          <w:color w:val="000000"/>
          <w:sz w:val="28"/>
          <w:szCs w:val="28"/>
          <w:highlight w:val="white"/>
        </w:rPr>
        <w:t>Драгоценные металлы, принятые в обеспечение по размещенным средствам» (П);</w:t>
      </w:r>
      <w:r w:rsidRPr="00FF4A01">
        <w:rPr>
          <w:rFonts w:ascii="Times New Roman" w:eastAsia="Times New Roman" w:hAnsi="Times New Roman" w:cs="Times New Roman"/>
          <w:color w:val="000000"/>
          <w:sz w:val="28"/>
          <w:szCs w:val="28"/>
        </w:rPr>
        <w:t xml:space="preserve"> </w:t>
      </w:r>
    </w:p>
    <w:p w:rsidR="00FF4A01" w:rsidRPr="00FF4A01" w:rsidRDefault="00FF4A01" w:rsidP="00FF4A01">
      <w:pPr>
        <w:widowControl w:val="0"/>
        <w:numPr>
          <w:ilvl w:val="0"/>
          <w:numId w:val="38"/>
        </w:numPr>
        <w:tabs>
          <w:tab w:val="left" w:pos="8931"/>
        </w:tabs>
        <w:spacing w:after="0" w:line="360" w:lineRule="auto"/>
        <w:contextualSpacing/>
        <w:jc w:val="both"/>
        <w:rPr>
          <w:rFonts w:ascii="Arial" w:eastAsia="Arial" w:hAnsi="Arial" w:cs="Arial"/>
          <w:color w:val="000000"/>
        </w:rPr>
      </w:pPr>
      <w:r w:rsidRPr="00FF4A01">
        <w:rPr>
          <w:rFonts w:ascii="Times New Roman" w:eastAsia="Times New Roman" w:hAnsi="Times New Roman" w:cs="Times New Roman"/>
          <w:color w:val="000000"/>
          <w:sz w:val="28"/>
          <w:szCs w:val="28"/>
        </w:rPr>
        <w:t>91314 «</w:t>
      </w:r>
      <w:r w:rsidRPr="00FF4A01">
        <w:rPr>
          <w:rFonts w:ascii="Times New Roman" w:eastAsia="Times New Roman" w:hAnsi="Times New Roman" w:cs="Times New Roman"/>
          <w:color w:val="000000"/>
          <w:sz w:val="28"/>
          <w:szCs w:val="28"/>
          <w:highlight w:val="white"/>
        </w:rPr>
        <w:t>Ценные бумаги, полученные по операциям, совершаемым на возвратной основе» (П)»</w:t>
      </w:r>
      <w:r w:rsidRPr="00FF4A01">
        <w:rPr>
          <w:rFonts w:ascii="Times New Roman" w:eastAsia="Times New Roman" w:hAnsi="Times New Roman" w:cs="Times New Roman"/>
          <w:color w:val="000000"/>
          <w:sz w:val="28"/>
          <w:szCs w:val="28"/>
        </w:rPr>
        <w:t xml:space="preserve"> </w:t>
      </w:r>
    </w:p>
    <w:p w:rsidR="00FF4A01" w:rsidRPr="00FF4A01" w:rsidRDefault="00FF4A01" w:rsidP="00FF4A01">
      <w:pPr>
        <w:widowControl w:val="0"/>
        <w:numPr>
          <w:ilvl w:val="0"/>
          <w:numId w:val="38"/>
        </w:numPr>
        <w:tabs>
          <w:tab w:val="left" w:pos="8931"/>
        </w:tabs>
        <w:spacing w:after="0" w:line="360" w:lineRule="auto"/>
        <w:contextualSpacing/>
        <w:jc w:val="both"/>
        <w:rPr>
          <w:rFonts w:ascii="Arial" w:eastAsia="Arial" w:hAnsi="Arial" w:cs="Arial"/>
          <w:color w:val="000000"/>
        </w:rPr>
      </w:pPr>
      <w:r w:rsidRPr="00FF4A01">
        <w:rPr>
          <w:rFonts w:ascii="Times New Roman" w:eastAsia="Times New Roman" w:hAnsi="Times New Roman" w:cs="Times New Roman"/>
          <w:color w:val="000000"/>
          <w:sz w:val="28"/>
          <w:szCs w:val="28"/>
        </w:rPr>
        <w:t>91414 «</w:t>
      </w:r>
      <w:r w:rsidRPr="00FF4A01">
        <w:rPr>
          <w:rFonts w:ascii="Times New Roman" w:eastAsia="Times New Roman" w:hAnsi="Times New Roman" w:cs="Times New Roman"/>
          <w:color w:val="000000"/>
          <w:sz w:val="28"/>
          <w:szCs w:val="28"/>
          <w:highlight w:val="white"/>
        </w:rPr>
        <w:t>Полученные гарантии и поручительства»</w:t>
      </w:r>
      <w:r w:rsidRPr="00FF4A01">
        <w:rPr>
          <w:rFonts w:ascii="Times New Roman" w:eastAsia="Times New Roman" w:hAnsi="Times New Roman" w:cs="Times New Roman"/>
          <w:color w:val="000000"/>
          <w:sz w:val="28"/>
          <w:szCs w:val="28"/>
        </w:rPr>
        <w:t xml:space="preserve"> (А)</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Данные </w:t>
      </w:r>
      <w:proofErr w:type="spellStart"/>
      <w:r w:rsidRPr="00FF4A01">
        <w:rPr>
          <w:rFonts w:ascii="Times New Roman" w:eastAsia="Times New Roman" w:hAnsi="Times New Roman" w:cs="Times New Roman"/>
          <w:color w:val="000000"/>
          <w:sz w:val="28"/>
          <w:szCs w:val="28"/>
        </w:rPr>
        <w:t>внебалансовые</w:t>
      </w:r>
      <w:proofErr w:type="spellEnd"/>
      <w:r w:rsidRPr="00FF4A01">
        <w:rPr>
          <w:rFonts w:ascii="Times New Roman" w:eastAsia="Times New Roman" w:hAnsi="Times New Roman" w:cs="Times New Roman"/>
          <w:color w:val="000000"/>
          <w:sz w:val="28"/>
          <w:szCs w:val="28"/>
        </w:rPr>
        <w:t xml:space="preserve"> счета предусмотрены для учета предмета залога в оценочной стоимости. Перечисленные выше счета, </w:t>
      </w:r>
      <w:proofErr w:type="gramStart"/>
      <w:r w:rsidRPr="00FF4A01">
        <w:rPr>
          <w:rFonts w:ascii="Times New Roman" w:eastAsia="Times New Roman" w:hAnsi="Times New Roman" w:cs="Times New Roman"/>
          <w:color w:val="000000"/>
          <w:sz w:val="28"/>
          <w:szCs w:val="28"/>
        </w:rPr>
        <w:t>являющееся</w:t>
      </w:r>
      <w:proofErr w:type="gramEnd"/>
      <w:r w:rsidRPr="00FF4A01">
        <w:rPr>
          <w:rFonts w:ascii="Times New Roman" w:eastAsia="Times New Roman" w:hAnsi="Times New Roman" w:cs="Times New Roman"/>
          <w:color w:val="000000"/>
          <w:sz w:val="28"/>
          <w:szCs w:val="28"/>
        </w:rPr>
        <w:t xml:space="preserve"> пассивными, корреспондируют со счетом 99998 «Счет для корреспонденции с пассивными счетами при двойной записи» (А)</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Для корреспонденции с активным счетом 91414 используется 99999 </w:t>
      </w:r>
      <w:r w:rsidRPr="00FF4A01">
        <w:rPr>
          <w:rFonts w:ascii="Times New Roman" w:eastAsia="Times New Roman" w:hAnsi="Times New Roman" w:cs="Times New Roman"/>
          <w:color w:val="000000"/>
          <w:sz w:val="28"/>
          <w:szCs w:val="28"/>
        </w:rPr>
        <w:lastRenderedPageBreak/>
        <w:t xml:space="preserve">«Счет для корреспонденции с активными счетами при двойной записи» (П).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Каждый предоставленный банком кредит включает несколько операций и поэтому отражается в бухгалтерском учете одновременно несколькими проводками, соответствующими отдельным элементам кредитной сделки:</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 1) выдача денежных средств (кредитных банка) ресурсов заемщику, которые независимо от способа их предоставления зачисляются непосредственно на его расчетный счет;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2) отражение за балансом (учет на </w:t>
      </w:r>
      <w:proofErr w:type="spellStart"/>
      <w:r w:rsidRPr="00FF4A01">
        <w:rPr>
          <w:rFonts w:ascii="Times New Roman" w:eastAsia="Times New Roman" w:hAnsi="Times New Roman" w:cs="Times New Roman"/>
          <w:color w:val="000000"/>
          <w:sz w:val="28"/>
          <w:szCs w:val="28"/>
        </w:rPr>
        <w:t>внебалансовых</w:t>
      </w:r>
      <w:proofErr w:type="spellEnd"/>
      <w:r w:rsidRPr="00FF4A01">
        <w:rPr>
          <w:rFonts w:ascii="Times New Roman" w:eastAsia="Times New Roman" w:hAnsi="Times New Roman" w:cs="Times New Roman"/>
          <w:color w:val="000000"/>
          <w:sz w:val="28"/>
          <w:szCs w:val="28"/>
        </w:rPr>
        <w:t xml:space="preserve"> счетах) принятого банком обеспечения </w:t>
      </w:r>
      <w:proofErr w:type="gramStart"/>
      <w:r w:rsidRPr="00FF4A01">
        <w:rPr>
          <w:rFonts w:ascii="Times New Roman" w:eastAsia="Times New Roman" w:hAnsi="Times New Roman" w:cs="Times New Roman"/>
          <w:color w:val="000000"/>
          <w:sz w:val="28"/>
          <w:szCs w:val="28"/>
        </w:rPr>
        <w:t>по</w:t>
      </w:r>
      <w:proofErr w:type="gramEnd"/>
      <w:r w:rsidRPr="00FF4A01">
        <w:rPr>
          <w:rFonts w:ascii="Times New Roman" w:eastAsia="Times New Roman" w:hAnsi="Times New Roman" w:cs="Times New Roman"/>
          <w:color w:val="000000"/>
          <w:sz w:val="28"/>
          <w:szCs w:val="28"/>
        </w:rPr>
        <w:t xml:space="preserve"> </w:t>
      </w:r>
      <w:proofErr w:type="gramStart"/>
      <w:r w:rsidRPr="00FF4A01">
        <w:rPr>
          <w:rFonts w:ascii="Times New Roman" w:eastAsia="Times New Roman" w:hAnsi="Times New Roman" w:cs="Times New Roman"/>
          <w:color w:val="000000"/>
          <w:sz w:val="28"/>
          <w:szCs w:val="28"/>
        </w:rPr>
        <w:t>суде</w:t>
      </w:r>
      <w:proofErr w:type="gramEnd"/>
      <w:r w:rsidRPr="00FF4A01">
        <w:rPr>
          <w:rFonts w:ascii="Times New Roman" w:eastAsia="Times New Roman" w:hAnsi="Times New Roman" w:cs="Times New Roman"/>
          <w:color w:val="000000"/>
          <w:sz w:val="28"/>
          <w:szCs w:val="28"/>
        </w:rPr>
        <w:t xml:space="preserve"> (вторичных источников погашения кредита);</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3) отражение за балансом (учет на специальных </w:t>
      </w:r>
      <w:proofErr w:type="spellStart"/>
      <w:r w:rsidRPr="00FF4A01">
        <w:rPr>
          <w:rFonts w:ascii="Times New Roman" w:eastAsia="Times New Roman" w:hAnsi="Times New Roman" w:cs="Times New Roman"/>
          <w:color w:val="000000"/>
          <w:sz w:val="28"/>
          <w:szCs w:val="28"/>
        </w:rPr>
        <w:t>внебалансовых</w:t>
      </w:r>
      <w:proofErr w:type="spellEnd"/>
      <w:r w:rsidRPr="00FF4A01">
        <w:rPr>
          <w:rFonts w:ascii="Times New Roman" w:eastAsia="Times New Roman" w:hAnsi="Times New Roman" w:cs="Times New Roman"/>
          <w:color w:val="000000"/>
          <w:sz w:val="28"/>
          <w:szCs w:val="28"/>
        </w:rPr>
        <w:t xml:space="preserve"> счетах) установленных заемщикам и недоиспользованных лимитов кредитования (по овердрафту, кредитным линиям);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 4) создание резерва на возможные потери по ссудам и учет движения на пассивных счетах второго порядка банковских счетов 441-459;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 5) постановка на учет и ответственное хранение подлинников самих обеспечительных обязательств заемщика </w:t>
      </w:r>
      <w:proofErr w:type="gramStart"/>
      <w:r w:rsidRPr="00FF4A01">
        <w:rPr>
          <w:rFonts w:ascii="Times New Roman" w:eastAsia="Times New Roman" w:hAnsi="Times New Roman" w:cs="Times New Roman"/>
          <w:color w:val="000000"/>
          <w:sz w:val="28"/>
          <w:szCs w:val="28"/>
        </w:rPr>
        <w:t>по</w:t>
      </w:r>
      <w:proofErr w:type="gramEnd"/>
      <w:r w:rsidRPr="00FF4A01">
        <w:rPr>
          <w:rFonts w:ascii="Times New Roman" w:eastAsia="Times New Roman" w:hAnsi="Times New Roman" w:cs="Times New Roman"/>
          <w:color w:val="000000"/>
          <w:sz w:val="28"/>
          <w:szCs w:val="28"/>
        </w:rPr>
        <w:t xml:space="preserve"> </w:t>
      </w:r>
      <w:proofErr w:type="gramStart"/>
      <w:r w:rsidRPr="00FF4A01">
        <w:rPr>
          <w:rFonts w:ascii="Times New Roman" w:eastAsia="Times New Roman" w:hAnsi="Times New Roman" w:cs="Times New Roman"/>
          <w:color w:val="000000"/>
          <w:sz w:val="28"/>
          <w:szCs w:val="28"/>
        </w:rPr>
        <w:t>суде</w:t>
      </w:r>
      <w:proofErr w:type="gramEnd"/>
      <w:r w:rsidRPr="00FF4A01">
        <w:rPr>
          <w:rFonts w:ascii="Times New Roman" w:eastAsia="Times New Roman" w:hAnsi="Times New Roman" w:cs="Times New Roman"/>
          <w:color w:val="000000"/>
          <w:sz w:val="28"/>
          <w:szCs w:val="28"/>
        </w:rPr>
        <w:t xml:space="preserve"> и кредитного договора с банком, т.е. юридической документации.</w:t>
      </w:r>
      <w:r w:rsidRPr="00FF4A01">
        <w:rPr>
          <w:rFonts w:ascii="Arial" w:eastAsia="Arial" w:hAnsi="Arial" w:cs="Arial"/>
          <w:color w:val="000000"/>
        </w:rPr>
        <w:t xml:space="preserve">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proofErr w:type="gramStart"/>
      <w:r w:rsidRPr="00FF4A01">
        <w:rPr>
          <w:rFonts w:ascii="Times New Roman" w:eastAsia="Times New Roman" w:hAnsi="Times New Roman" w:cs="Times New Roman"/>
          <w:color w:val="000000"/>
          <w:sz w:val="28"/>
          <w:szCs w:val="28"/>
        </w:rPr>
        <w:t>Как уже было отмечено ранее, одним из основных принципов, на котором строятся кредитные отношения, является его платность.</w:t>
      </w:r>
      <w:proofErr w:type="gramEnd"/>
      <w:r w:rsidRPr="00FF4A01">
        <w:rPr>
          <w:rFonts w:ascii="Times New Roman" w:eastAsia="Times New Roman" w:hAnsi="Times New Roman" w:cs="Times New Roman"/>
          <w:color w:val="000000"/>
          <w:sz w:val="28"/>
          <w:szCs w:val="28"/>
        </w:rPr>
        <w:t xml:space="preserve"> Данный принцип основывается на том, что за право пользование кредитом, заемщик должен оплатить согласованную и отраженную в кредитном договоре сумму процентов. Учет начисленных и подлежащих уплате ведется по счетам: 47427 «Требование по получению процентов», 91604 «Неполученные проценты по кредитам и прочим размещенным средствам (кроме межбанковских), предоставленным клиентам», а также на счетах по учету доходов: 70601 «Доходы» и 61301 «Доходы будущих периодов по кредитным операциям».</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При начислении процентов по предоставленным кредитам, по которым получение процентов признано определенным, их одновременно относят на </w:t>
      </w:r>
      <w:r w:rsidRPr="00FF4A01">
        <w:rPr>
          <w:rFonts w:ascii="Times New Roman" w:eastAsia="Times New Roman" w:hAnsi="Times New Roman" w:cs="Times New Roman"/>
          <w:color w:val="000000"/>
          <w:sz w:val="28"/>
          <w:szCs w:val="28"/>
        </w:rPr>
        <w:lastRenderedPageBreak/>
        <w:t>специальный счет учета требований по получению процентов и на доходы. Усложнение учета процентов здесь связано с отнесением их в дебет счета 47427 «Требования по получению процентов» (А). Тогда как при совпадении периодов начисления и уплаты в этом нет необходимости. Такие проценты следует сразу относить, например, в дебет счетов учета денежных средств.</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Начисление процентов по предоставленным кредитам, по которым получение процентов признано неопределенным, осуществляется на </w:t>
      </w:r>
      <w:proofErr w:type="spellStart"/>
      <w:r w:rsidRPr="00FF4A01">
        <w:rPr>
          <w:rFonts w:ascii="Times New Roman" w:eastAsia="Times New Roman" w:hAnsi="Times New Roman" w:cs="Times New Roman"/>
          <w:color w:val="000000"/>
          <w:sz w:val="28"/>
          <w:szCs w:val="28"/>
        </w:rPr>
        <w:t>внебалансовом</w:t>
      </w:r>
      <w:proofErr w:type="spellEnd"/>
      <w:r w:rsidRPr="00FF4A01">
        <w:rPr>
          <w:rFonts w:ascii="Times New Roman" w:eastAsia="Times New Roman" w:hAnsi="Times New Roman" w:cs="Times New Roman"/>
          <w:color w:val="000000"/>
          <w:sz w:val="28"/>
          <w:szCs w:val="28"/>
        </w:rPr>
        <w:t xml:space="preserve"> счете 91604 «Неполученные проценты по кредитам и прочим размещенным средствам (</w:t>
      </w:r>
      <w:proofErr w:type="gramStart"/>
      <w:r w:rsidRPr="00FF4A01">
        <w:rPr>
          <w:rFonts w:ascii="Times New Roman" w:eastAsia="Times New Roman" w:hAnsi="Times New Roman" w:cs="Times New Roman"/>
          <w:color w:val="000000"/>
          <w:sz w:val="28"/>
          <w:szCs w:val="28"/>
        </w:rPr>
        <w:t>кроме</w:t>
      </w:r>
      <w:proofErr w:type="gramEnd"/>
      <w:r w:rsidRPr="00FF4A01">
        <w:rPr>
          <w:rFonts w:ascii="Times New Roman" w:eastAsia="Times New Roman" w:hAnsi="Times New Roman" w:cs="Times New Roman"/>
          <w:color w:val="000000"/>
          <w:sz w:val="28"/>
          <w:szCs w:val="28"/>
        </w:rPr>
        <w:t xml:space="preserve"> межбанковских), предоставленным клиентам» (А).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Возможна ситуация досрочной уплаты процентов. Если рассмотреть ее на примере досрочной уплаты процентов с депозита физического лица до востребования, то бухгалтерская запись будет следующей: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Д 42301 «Депозиты физических лиц до востребования» (П)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К 61301 «Доходы будущих периодов по кредитным операциям» (П)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Отражение процентных доходов за текущий месяц, к которому они относятся, при досрочной уплате процентов: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Д 61301 «Доходы будущих периодов по кредитным операциям» (П)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 xml:space="preserve">К 70601 «Доходы» (П).  </w:t>
      </w:r>
    </w:p>
    <w:p w:rsidR="00FF4A01" w:rsidRPr="00FF4A01" w:rsidRDefault="00FF4A01" w:rsidP="00FF4A01">
      <w:pPr>
        <w:widowControl w:val="0"/>
        <w:tabs>
          <w:tab w:val="left" w:pos="8931"/>
        </w:tabs>
        <w:spacing w:after="0" w:line="360" w:lineRule="auto"/>
        <w:ind w:firstLine="720"/>
        <w:jc w:val="both"/>
        <w:rPr>
          <w:rFonts w:ascii="Arial" w:eastAsia="Arial" w:hAnsi="Arial" w:cs="Arial"/>
          <w:color w:val="000000"/>
        </w:rPr>
      </w:pPr>
      <w:r w:rsidRPr="00FF4A01">
        <w:rPr>
          <w:rFonts w:ascii="Times New Roman" w:eastAsia="Times New Roman" w:hAnsi="Times New Roman" w:cs="Times New Roman"/>
          <w:color w:val="000000"/>
          <w:sz w:val="28"/>
          <w:szCs w:val="28"/>
        </w:rPr>
        <w:t>Начисленные проценты подлежат отражению в бухгалтерском учете банка не реже одного раза в месяц и не позднее последнего рабочего дня отчетного месяца.</w:t>
      </w:r>
    </w:p>
    <w:p w:rsidR="00550DE8" w:rsidRDefault="00550DE8" w:rsidP="004166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Список использованной литературы:</w:t>
      </w:r>
    </w:p>
    <w:p w:rsidR="00CB1D8D" w:rsidRPr="00CB1D8D" w:rsidRDefault="005862A8" w:rsidP="00CB1D8D">
      <w:pPr>
        <w:pStyle w:val="a3"/>
        <w:numPr>
          <w:ilvl w:val="0"/>
          <w:numId w:val="40"/>
        </w:numPr>
        <w:spacing w:after="0" w:line="360" w:lineRule="auto"/>
        <w:jc w:val="both"/>
        <w:rPr>
          <w:rFonts w:ascii="Times New Roman" w:eastAsia="Calibri" w:hAnsi="Times New Roman" w:cs="Times New Roman"/>
          <w:sz w:val="28"/>
          <w:szCs w:val="28"/>
        </w:rPr>
      </w:pPr>
      <w:r w:rsidRPr="00CB1D8D">
        <w:rPr>
          <w:rFonts w:ascii="Times New Roman" w:eastAsia="Times New Roman" w:hAnsi="Times New Roman" w:cs="Times New Roman"/>
          <w:sz w:val="28"/>
          <w:szCs w:val="28"/>
        </w:rPr>
        <w:t xml:space="preserve"> Федеральный закон от 06.12.2011г. </w:t>
      </w:r>
      <w:r w:rsidRPr="00CB1D8D">
        <w:rPr>
          <w:rFonts w:ascii="Times New Roman" w:eastAsia="Segoe UI Symbol" w:hAnsi="Times New Roman" w:cs="Times New Roman"/>
          <w:sz w:val="28"/>
          <w:szCs w:val="28"/>
        </w:rPr>
        <w:t>№</w:t>
      </w:r>
      <w:r w:rsidRPr="00CB1D8D">
        <w:rPr>
          <w:rFonts w:ascii="Times New Roman" w:eastAsia="Times New Roman" w:hAnsi="Times New Roman" w:cs="Times New Roman"/>
          <w:sz w:val="28"/>
          <w:szCs w:val="28"/>
        </w:rPr>
        <w:t xml:space="preserve"> 402-ФЗ «О бухгалтерском </w:t>
      </w:r>
      <w:r w:rsidR="00300CAC" w:rsidRPr="00CB1D8D">
        <w:rPr>
          <w:rFonts w:ascii="Times New Roman" w:eastAsia="Times New Roman" w:hAnsi="Times New Roman" w:cs="Times New Roman"/>
          <w:sz w:val="28"/>
          <w:szCs w:val="28"/>
        </w:rPr>
        <w:t>учете</w:t>
      </w:r>
      <w:r w:rsidRPr="00CB1D8D">
        <w:rPr>
          <w:rFonts w:ascii="Times New Roman" w:eastAsia="Times New Roman" w:hAnsi="Times New Roman" w:cs="Times New Roman"/>
          <w:sz w:val="28"/>
          <w:szCs w:val="28"/>
        </w:rPr>
        <w:t>» (ред. от 23</w:t>
      </w:r>
      <w:r w:rsidRPr="00CB1D8D">
        <w:rPr>
          <w:rFonts w:ascii="Times New Roman" w:eastAsia="Times New Roman" w:hAnsi="Times New Roman" w:cs="Times New Roman"/>
          <w:color w:val="FFFFFF"/>
          <w:spacing w:val="-20000"/>
          <w:sz w:val="28"/>
          <w:szCs w:val="28"/>
        </w:rPr>
        <w:t>ٜ</w:t>
      </w:r>
      <w:r w:rsidRPr="00CB1D8D">
        <w:rPr>
          <w:rFonts w:ascii="Times New Roman" w:eastAsia="Times New Roman" w:hAnsi="Times New Roman" w:cs="Times New Roman"/>
          <w:sz w:val="28"/>
          <w:szCs w:val="28"/>
        </w:rPr>
        <w:t>.0</w:t>
      </w:r>
      <w:r w:rsidRPr="00CB1D8D">
        <w:rPr>
          <w:rFonts w:ascii="Times New Roman" w:eastAsia="Times New Roman" w:hAnsi="Times New Roman" w:cs="Times New Roman"/>
          <w:color w:val="FFFFFF"/>
          <w:spacing w:val="-20000"/>
          <w:sz w:val="28"/>
          <w:szCs w:val="28"/>
        </w:rPr>
        <w:t>ٜ</w:t>
      </w:r>
      <w:r w:rsidRPr="00CB1D8D">
        <w:rPr>
          <w:rFonts w:ascii="Times New Roman" w:eastAsia="Times New Roman" w:hAnsi="Times New Roman" w:cs="Times New Roman"/>
          <w:sz w:val="28"/>
          <w:szCs w:val="28"/>
        </w:rPr>
        <w:t>5.</w:t>
      </w:r>
      <w:r w:rsidRPr="00CB1D8D">
        <w:rPr>
          <w:rFonts w:ascii="Times New Roman" w:eastAsia="Times New Roman" w:hAnsi="Times New Roman" w:cs="Times New Roman"/>
          <w:color w:val="FFFFFF"/>
          <w:spacing w:val="-20000"/>
          <w:sz w:val="28"/>
          <w:szCs w:val="28"/>
        </w:rPr>
        <w:t>ٜ</w:t>
      </w:r>
      <w:r w:rsidRPr="00CB1D8D">
        <w:rPr>
          <w:rFonts w:ascii="Times New Roman" w:eastAsia="Times New Roman" w:hAnsi="Times New Roman" w:cs="Times New Roman"/>
          <w:sz w:val="28"/>
          <w:szCs w:val="28"/>
        </w:rPr>
        <w:t>20</w:t>
      </w:r>
      <w:r w:rsidRPr="00CB1D8D">
        <w:rPr>
          <w:rFonts w:ascii="Times New Roman" w:eastAsia="Times New Roman" w:hAnsi="Times New Roman" w:cs="Times New Roman"/>
          <w:color w:val="FFFFFF"/>
          <w:spacing w:val="-20000"/>
          <w:sz w:val="28"/>
          <w:szCs w:val="28"/>
        </w:rPr>
        <w:t>ٜ</w:t>
      </w:r>
      <w:r w:rsidRPr="00CB1D8D">
        <w:rPr>
          <w:rFonts w:ascii="Times New Roman" w:eastAsia="Times New Roman" w:hAnsi="Times New Roman" w:cs="Times New Roman"/>
          <w:sz w:val="28"/>
          <w:szCs w:val="28"/>
        </w:rPr>
        <w:t>16).</w:t>
      </w:r>
    </w:p>
    <w:p w:rsidR="00CB1D8D" w:rsidRPr="00CB1D8D" w:rsidRDefault="00CB1D8D" w:rsidP="00CB1D8D">
      <w:pPr>
        <w:pStyle w:val="a3"/>
        <w:numPr>
          <w:ilvl w:val="0"/>
          <w:numId w:val="40"/>
        </w:numPr>
        <w:spacing w:after="0" w:line="360" w:lineRule="auto"/>
        <w:jc w:val="both"/>
        <w:rPr>
          <w:rFonts w:ascii="Times New Roman" w:eastAsia="Calibri" w:hAnsi="Times New Roman" w:cs="Times New Roman"/>
          <w:sz w:val="28"/>
          <w:szCs w:val="28"/>
        </w:rPr>
      </w:pPr>
      <w:r w:rsidRPr="00CB1D8D">
        <w:rPr>
          <w:rFonts w:ascii="Times New Roman" w:eastAsia="Arial" w:hAnsi="Times New Roman" w:cs="Times New Roman"/>
          <w:color w:val="000000"/>
          <w:sz w:val="28"/>
          <w:szCs w:val="28"/>
        </w:rPr>
        <w:t>Никонова И.А. Современная кредитная политика банка // Банковское дело. – 201</w:t>
      </w:r>
      <w:r>
        <w:rPr>
          <w:rFonts w:ascii="Times New Roman" w:eastAsia="Arial" w:hAnsi="Times New Roman" w:cs="Times New Roman"/>
          <w:color w:val="000000"/>
          <w:sz w:val="28"/>
          <w:szCs w:val="28"/>
        </w:rPr>
        <w:t>5</w:t>
      </w:r>
      <w:r w:rsidRPr="00CB1D8D">
        <w:rPr>
          <w:rFonts w:ascii="Times New Roman" w:eastAsia="Arial" w:hAnsi="Times New Roman" w:cs="Times New Roman"/>
          <w:color w:val="000000"/>
          <w:sz w:val="28"/>
          <w:szCs w:val="28"/>
        </w:rPr>
        <w:t xml:space="preserve">. - №6- С. 66-69   </w:t>
      </w:r>
    </w:p>
    <w:p w:rsidR="00DB554D" w:rsidRDefault="00CB1D8D" w:rsidP="00807684">
      <w:pPr>
        <w:pStyle w:val="a3"/>
        <w:numPr>
          <w:ilvl w:val="0"/>
          <w:numId w:val="40"/>
        </w:numPr>
        <w:spacing w:after="0" w:line="360" w:lineRule="auto"/>
        <w:ind w:firstLine="709"/>
        <w:jc w:val="both"/>
      </w:pPr>
      <w:r w:rsidRPr="00CB1D8D">
        <w:rPr>
          <w:rFonts w:ascii="Times New Roman" w:eastAsia="Arial" w:hAnsi="Times New Roman" w:cs="Times New Roman"/>
          <w:color w:val="000000"/>
          <w:sz w:val="28"/>
          <w:szCs w:val="28"/>
        </w:rPr>
        <w:t>Хусаинов Р.В. Кредитная политика банка: цели, задачи и основные принципы// Банковское кредитование. - 2014. -№5  - С. 55-59.</w:t>
      </w:r>
      <w:bookmarkStart w:id="0" w:name="_GoBack"/>
      <w:bookmarkEnd w:id="0"/>
    </w:p>
    <w:sectPr w:rsidR="00DB554D" w:rsidSect="002716CD">
      <w:foot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36B" w:rsidRDefault="00C0236B" w:rsidP="00171377">
      <w:pPr>
        <w:spacing w:after="0" w:line="240" w:lineRule="auto"/>
      </w:pPr>
      <w:r>
        <w:separator/>
      </w:r>
    </w:p>
  </w:endnote>
  <w:endnote w:type="continuationSeparator" w:id="0">
    <w:p w:rsidR="00C0236B" w:rsidRDefault="00C0236B" w:rsidP="001713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7499213"/>
      <w:docPartObj>
        <w:docPartGallery w:val="Page Numbers (Bottom of Page)"/>
        <w:docPartUnique/>
      </w:docPartObj>
    </w:sdtPr>
    <w:sdtContent>
      <w:p w:rsidR="00171377" w:rsidRDefault="002716CD">
        <w:pPr>
          <w:pStyle w:val="a6"/>
          <w:jc w:val="right"/>
        </w:pPr>
        <w:r>
          <w:fldChar w:fldCharType="begin"/>
        </w:r>
        <w:r w:rsidR="00171377">
          <w:instrText>PAGE   \* MERGEFORMAT</w:instrText>
        </w:r>
        <w:r>
          <w:fldChar w:fldCharType="separate"/>
        </w:r>
        <w:r w:rsidR="00336CC9">
          <w:rPr>
            <w:noProof/>
          </w:rPr>
          <w:t>1</w:t>
        </w:r>
        <w:r>
          <w:fldChar w:fldCharType="end"/>
        </w:r>
      </w:p>
    </w:sdtContent>
  </w:sdt>
  <w:p w:rsidR="00171377" w:rsidRDefault="0017137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36B" w:rsidRDefault="00C0236B" w:rsidP="00171377">
      <w:pPr>
        <w:spacing w:after="0" w:line="240" w:lineRule="auto"/>
      </w:pPr>
      <w:r>
        <w:separator/>
      </w:r>
    </w:p>
  </w:footnote>
  <w:footnote w:type="continuationSeparator" w:id="0">
    <w:p w:rsidR="00C0236B" w:rsidRDefault="00C0236B" w:rsidP="001713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F6B"/>
    <w:multiLevelType w:val="hybridMultilevel"/>
    <w:tmpl w:val="AE46363A"/>
    <w:lvl w:ilvl="0" w:tplc="90AA6A9E">
      <w:start w:val="1"/>
      <w:numFmt w:val="decimal"/>
      <w:lvlText w:val="%1)"/>
      <w:lvlJc w:val="left"/>
      <w:pPr>
        <w:ind w:left="1864" w:hanging="115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23555FC"/>
    <w:multiLevelType w:val="hybridMultilevel"/>
    <w:tmpl w:val="333E62A0"/>
    <w:lvl w:ilvl="0" w:tplc="D074853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A44A53"/>
    <w:multiLevelType w:val="hybridMultilevel"/>
    <w:tmpl w:val="3F1EF4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F82DEA"/>
    <w:multiLevelType w:val="multilevel"/>
    <w:tmpl w:val="581237DE"/>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4">
    <w:nsid w:val="070A39E4"/>
    <w:multiLevelType w:val="multilevel"/>
    <w:tmpl w:val="49408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7EA3E56"/>
    <w:multiLevelType w:val="multilevel"/>
    <w:tmpl w:val="4D6A5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E60EA5"/>
    <w:multiLevelType w:val="multilevel"/>
    <w:tmpl w:val="14623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49435A5"/>
    <w:multiLevelType w:val="multilevel"/>
    <w:tmpl w:val="61DA3E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8AA7136"/>
    <w:multiLevelType w:val="hybridMultilevel"/>
    <w:tmpl w:val="47F2775E"/>
    <w:lvl w:ilvl="0" w:tplc="C0809046">
      <w:start w:val="1"/>
      <w:numFmt w:val="decimal"/>
      <w:lvlText w:val="%1)"/>
      <w:lvlJc w:val="left"/>
      <w:pPr>
        <w:ind w:left="1833" w:hanging="112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1A18436A"/>
    <w:multiLevelType w:val="multilevel"/>
    <w:tmpl w:val="F8821F82"/>
    <w:lvl w:ilvl="0">
      <w:start w:val="1"/>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1E914E71"/>
    <w:multiLevelType w:val="multilevel"/>
    <w:tmpl w:val="F1F83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41C0511"/>
    <w:multiLevelType w:val="hybridMultilevel"/>
    <w:tmpl w:val="35CA0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4C13C07"/>
    <w:multiLevelType w:val="multilevel"/>
    <w:tmpl w:val="3C96A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90C6637"/>
    <w:multiLevelType w:val="multilevel"/>
    <w:tmpl w:val="9766AD4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rPr>
        <w:color w:val="auto"/>
      </w:r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4">
    <w:nsid w:val="2AF701E6"/>
    <w:multiLevelType w:val="hybridMultilevel"/>
    <w:tmpl w:val="E34A09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B004F21"/>
    <w:multiLevelType w:val="multilevel"/>
    <w:tmpl w:val="C17E7B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397916EE"/>
    <w:multiLevelType w:val="multilevel"/>
    <w:tmpl w:val="AF4804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BD82069"/>
    <w:multiLevelType w:val="multilevel"/>
    <w:tmpl w:val="3E8858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BDD3D6B"/>
    <w:multiLevelType w:val="hybridMultilevel"/>
    <w:tmpl w:val="C5C0F0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F2E12FE"/>
    <w:multiLevelType w:val="hybridMultilevel"/>
    <w:tmpl w:val="AE46363A"/>
    <w:lvl w:ilvl="0" w:tplc="90AA6A9E">
      <w:start w:val="1"/>
      <w:numFmt w:val="decimal"/>
      <w:lvlText w:val="%1)"/>
      <w:lvlJc w:val="left"/>
      <w:pPr>
        <w:ind w:left="1864" w:hanging="115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41DD731C"/>
    <w:multiLevelType w:val="hybridMultilevel"/>
    <w:tmpl w:val="47F2775E"/>
    <w:lvl w:ilvl="0" w:tplc="C0809046">
      <w:start w:val="1"/>
      <w:numFmt w:val="decimal"/>
      <w:lvlText w:val="%1)"/>
      <w:lvlJc w:val="left"/>
      <w:pPr>
        <w:ind w:left="1833" w:hanging="112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43375913"/>
    <w:multiLevelType w:val="multilevel"/>
    <w:tmpl w:val="F1724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6230258"/>
    <w:multiLevelType w:val="multilevel"/>
    <w:tmpl w:val="36BE83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D1025AC"/>
    <w:multiLevelType w:val="multilevel"/>
    <w:tmpl w:val="C5E80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EBE1379"/>
    <w:multiLevelType w:val="hybridMultilevel"/>
    <w:tmpl w:val="8F229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0145180"/>
    <w:multiLevelType w:val="multilevel"/>
    <w:tmpl w:val="A3E075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14D3E82"/>
    <w:multiLevelType w:val="multilevel"/>
    <w:tmpl w:val="875EB3B4"/>
    <w:lvl w:ilvl="0">
      <w:start w:val="1"/>
      <w:numFmt w:val="decimal"/>
      <w:lvlText w:val="%1"/>
      <w:lvlJc w:val="left"/>
      <w:pPr>
        <w:ind w:left="615" w:hanging="615"/>
      </w:pPr>
      <w:rPr>
        <w:rFonts w:hint="default"/>
      </w:rPr>
    </w:lvl>
    <w:lvl w:ilvl="1">
      <w:start w:val="1"/>
      <w:numFmt w:val="decimal"/>
      <w:lvlText w:val="%1.%2"/>
      <w:lvlJc w:val="left"/>
      <w:pPr>
        <w:ind w:left="899"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A715E18"/>
    <w:multiLevelType w:val="multilevel"/>
    <w:tmpl w:val="10784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A8316CB"/>
    <w:multiLevelType w:val="multilevel"/>
    <w:tmpl w:val="4EF819A4"/>
    <w:lvl w:ilvl="0">
      <w:start w:val="1"/>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nsid w:val="5D6007A7"/>
    <w:multiLevelType w:val="multilevel"/>
    <w:tmpl w:val="A178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C510B3"/>
    <w:multiLevelType w:val="multilevel"/>
    <w:tmpl w:val="C276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0F720DE"/>
    <w:multiLevelType w:val="multilevel"/>
    <w:tmpl w:val="58CCE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B1E1F28"/>
    <w:multiLevelType w:val="multilevel"/>
    <w:tmpl w:val="D1D4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8D12F2"/>
    <w:multiLevelType w:val="multilevel"/>
    <w:tmpl w:val="1C265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2AC71E8"/>
    <w:multiLevelType w:val="multilevel"/>
    <w:tmpl w:val="581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6A6CE2"/>
    <w:multiLevelType w:val="multilevel"/>
    <w:tmpl w:val="E4041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78B6508"/>
    <w:multiLevelType w:val="multilevel"/>
    <w:tmpl w:val="61788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7CC1570"/>
    <w:multiLevelType w:val="hybridMultilevel"/>
    <w:tmpl w:val="AE46363A"/>
    <w:lvl w:ilvl="0" w:tplc="90AA6A9E">
      <w:start w:val="1"/>
      <w:numFmt w:val="decimal"/>
      <w:lvlText w:val="%1)"/>
      <w:lvlJc w:val="left"/>
      <w:pPr>
        <w:ind w:left="1864" w:hanging="115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nsid w:val="7D72607F"/>
    <w:multiLevelType w:val="hybridMultilevel"/>
    <w:tmpl w:val="439063A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7F633E4B"/>
    <w:multiLevelType w:val="multilevel"/>
    <w:tmpl w:val="291465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20"/>
  </w:num>
  <w:num w:numId="3">
    <w:abstractNumId w:val="27"/>
  </w:num>
  <w:num w:numId="4">
    <w:abstractNumId w:val="17"/>
  </w:num>
  <w:num w:numId="5">
    <w:abstractNumId w:val="30"/>
  </w:num>
  <w:num w:numId="6">
    <w:abstractNumId w:val="25"/>
  </w:num>
  <w:num w:numId="7">
    <w:abstractNumId w:val="7"/>
  </w:num>
  <w:num w:numId="8">
    <w:abstractNumId w:val="12"/>
  </w:num>
  <w:num w:numId="9">
    <w:abstractNumId w:val="10"/>
  </w:num>
  <w:num w:numId="10">
    <w:abstractNumId w:val="22"/>
  </w:num>
  <w:num w:numId="11">
    <w:abstractNumId w:val="39"/>
  </w:num>
  <w:num w:numId="12">
    <w:abstractNumId w:val="31"/>
  </w:num>
  <w:num w:numId="13">
    <w:abstractNumId w:val="5"/>
  </w:num>
  <w:num w:numId="14">
    <w:abstractNumId w:val="23"/>
  </w:num>
  <w:num w:numId="15">
    <w:abstractNumId w:val="21"/>
  </w:num>
  <w:num w:numId="16">
    <w:abstractNumId w:val="6"/>
  </w:num>
  <w:num w:numId="17">
    <w:abstractNumId w:val="4"/>
  </w:num>
  <w:num w:numId="18">
    <w:abstractNumId w:val="16"/>
  </w:num>
  <w:num w:numId="19">
    <w:abstractNumId w:val="36"/>
  </w:num>
  <w:num w:numId="20">
    <w:abstractNumId w:val="35"/>
  </w:num>
  <w:num w:numId="21">
    <w:abstractNumId w:val="33"/>
  </w:num>
  <w:num w:numId="22">
    <w:abstractNumId w:val="8"/>
  </w:num>
  <w:num w:numId="23">
    <w:abstractNumId w:val="38"/>
  </w:num>
  <w:num w:numId="24">
    <w:abstractNumId w:val="3"/>
  </w:num>
  <w:num w:numId="25">
    <w:abstractNumId w:val="19"/>
  </w:num>
  <w:num w:numId="26">
    <w:abstractNumId w:val="9"/>
  </w:num>
  <w:num w:numId="27">
    <w:abstractNumId w:val="26"/>
  </w:num>
  <w:num w:numId="28">
    <w:abstractNumId w:val="1"/>
  </w:num>
  <w:num w:numId="29">
    <w:abstractNumId w:val="34"/>
  </w:num>
  <w:num w:numId="30">
    <w:abstractNumId w:val="2"/>
  </w:num>
  <w:num w:numId="31">
    <w:abstractNumId w:val="11"/>
  </w:num>
  <w:num w:numId="32">
    <w:abstractNumId w:val="32"/>
  </w:num>
  <w:num w:numId="33">
    <w:abstractNumId w:val="29"/>
  </w:num>
  <w:num w:numId="34">
    <w:abstractNumId w:val="24"/>
  </w:num>
  <w:num w:numId="35">
    <w:abstractNumId w:val="37"/>
  </w:num>
  <w:num w:numId="36">
    <w:abstractNumId w:val="0"/>
  </w:num>
  <w:num w:numId="37">
    <w:abstractNumId w:val="15"/>
  </w:num>
  <w:num w:numId="38">
    <w:abstractNumId w:val="18"/>
  </w:num>
  <w:num w:numId="39">
    <w:abstractNumId w:val="13"/>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416615"/>
    <w:rsid w:val="000B5E47"/>
    <w:rsid w:val="00171377"/>
    <w:rsid w:val="002716CD"/>
    <w:rsid w:val="002B2738"/>
    <w:rsid w:val="00300CAC"/>
    <w:rsid w:val="00325DEF"/>
    <w:rsid w:val="00336012"/>
    <w:rsid w:val="00336CC9"/>
    <w:rsid w:val="003A0AFD"/>
    <w:rsid w:val="003F2E26"/>
    <w:rsid w:val="00416615"/>
    <w:rsid w:val="004C24F1"/>
    <w:rsid w:val="005006A5"/>
    <w:rsid w:val="00550DE8"/>
    <w:rsid w:val="005862A8"/>
    <w:rsid w:val="007C4023"/>
    <w:rsid w:val="00817664"/>
    <w:rsid w:val="008734CA"/>
    <w:rsid w:val="00C0236B"/>
    <w:rsid w:val="00CB1D8D"/>
    <w:rsid w:val="00D75E12"/>
    <w:rsid w:val="00DB554D"/>
    <w:rsid w:val="00DF0FD1"/>
    <w:rsid w:val="00E9319E"/>
    <w:rsid w:val="00EA3FF2"/>
    <w:rsid w:val="00FF4A0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615"/>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6615"/>
    <w:pPr>
      <w:ind w:left="720"/>
      <w:contextualSpacing/>
    </w:pPr>
  </w:style>
  <w:style w:type="paragraph" w:styleId="a4">
    <w:name w:val="header"/>
    <w:basedOn w:val="a"/>
    <w:link w:val="a5"/>
    <w:uiPriority w:val="99"/>
    <w:unhideWhenUsed/>
    <w:rsid w:val="0081766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17664"/>
    <w:rPr>
      <w:rFonts w:eastAsiaTheme="minorEastAsia"/>
      <w:lang w:eastAsia="ru-RU"/>
    </w:rPr>
  </w:style>
  <w:style w:type="paragraph" w:styleId="a6">
    <w:name w:val="footer"/>
    <w:basedOn w:val="a"/>
    <w:link w:val="a7"/>
    <w:uiPriority w:val="99"/>
    <w:unhideWhenUsed/>
    <w:rsid w:val="0081766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17664"/>
    <w:rPr>
      <w:rFonts w:eastAsiaTheme="minorEastAsia"/>
      <w:lang w:eastAsia="ru-RU"/>
    </w:rPr>
  </w:style>
  <w:style w:type="character" w:customStyle="1" w:styleId="a8">
    <w:name w:val="Текст выноски Знак"/>
    <w:basedOn w:val="a0"/>
    <w:link w:val="a9"/>
    <w:uiPriority w:val="99"/>
    <w:semiHidden/>
    <w:rsid w:val="00817664"/>
    <w:rPr>
      <w:rFonts w:ascii="Tahoma" w:eastAsiaTheme="minorEastAsia" w:hAnsi="Tahoma" w:cs="Tahoma"/>
      <w:sz w:val="16"/>
      <w:szCs w:val="16"/>
      <w:lang w:eastAsia="ru-RU"/>
    </w:rPr>
  </w:style>
  <w:style w:type="paragraph" w:styleId="a9">
    <w:name w:val="Balloon Text"/>
    <w:basedOn w:val="a"/>
    <w:link w:val="a8"/>
    <w:uiPriority w:val="99"/>
    <w:semiHidden/>
    <w:unhideWhenUsed/>
    <w:rsid w:val="00817664"/>
    <w:pPr>
      <w:spacing w:after="0" w:line="240" w:lineRule="auto"/>
    </w:pPr>
    <w:rPr>
      <w:rFonts w:ascii="Tahoma" w:hAnsi="Tahoma" w:cs="Tahoma"/>
      <w:sz w:val="16"/>
      <w:szCs w:val="16"/>
    </w:rPr>
  </w:style>
  <w:style w:type="numbering" w:customStyle="1" w:styleId="1">
    <w:name w:val="Нет списка1"/>
    <w:next w:val="a2"/>
    <w:uiPriority w:val="99"/>
    <w:semiHidden/>
    <w:unhideWhenUsed/>
    <w:rsid w:val="008734CA"/>
  </w:style>
  <w:style w:type="paragraph" w:styleId="aa">
    <w:name w:val="Normal (Web)"/>
    <w:basedOn w:val="a"/>
    <w:uiPriority w:val="99"/>
    <w:unhideWhenUsed/>
    <w:rsid w:val="008734CA"/>
    <w:pPr>
      <w:spacing w:before="100" w:beforeAutospacing="1" w:after="100" w:afterAutospacing="1" w:line="240" w:lineRule="auto"/>
    </w:pPr>
    <w:rPr>
      <w:rFonts w:ascii="Times New Roman" w:eastAsia="Times New Roman" w:hAnsi="Times New Roman" w:cs="Times New Roman"/>
      <w:sz w:val="24"/>
      <w:szCs w:val="24"/>
    </w:rPr>
  </w:style>
  <w:style w:type="table" w:styleId="ab">
    <w:name w:val="Table Grid"/>
    <w:basedOn w:val="a1"/>
    <w:uiPriority w:val="59"/>
    <w:rsid w:val="008734CA"/>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uiPriority w:val="22"/>
    <w:qFormat/>
    <w:rsid w:val="008734CA"/>
    <w:rPr>
      <w:rFonts w:cs="Times New Roman"/>
      <w:b/>
      <w:bCs/>
    </w:rPr>
  </w:style>
  <w:style w:type="character" w:customStyle="1" w:styleId="t1">
    <w:name w:val="t1"/>
    <w:rsid w:val="008734CA"/>
    <w:rPr>
      <w:sz w:val="21"/>
    </w:rPr>
  </w:style>
  <w:style w:type="paragraph" w:customStyle="1" w:styleId="t1p">
    <w:name w:val="t1p"/>
    <w:rsid w:val="008734CA"/>
    <w:pPr>
      <w:spacing w:after="100"/>
      <w:ind w:firstLine="380"/>
      <w:jc w:val="both"/>
    </w:pPr>
    <w:rPr>
      <w:rFonts w:ascii="Arial" w:eastAsiaTheme="minorEastAsia" w:hAnsi="Arial" w:cs="Arial"/>
      <w:sz w:val="20"/>
      <w:szCs w:val="20"/>
      <w:lang w:eastAsia="ru-RU"/>
    </w:rPr>
  </w:style>
  <w:style w:type="table" w:customStyle="1" w:styleId="TableStyle">
    <w:name w:val="TableStyle"/>
    <w:uiPriority w:val="99"/>
    <w:rsid w:val="008734CA"/>
    <w:rPr>
      <w:rFonts w:ascii="Arial" w:eastAsiaTheme="minorEastAsia" w:hAnsi="Arial" w:cs="Arial"/>
      <w:sz w:val="20"/>
      <w:szCs w:val="20"/>
      <w:lang w:eastAsia="ru-RU"/>
    </w:rPr>
    <w:tblPr>
      <w:jc w:val="center"/>
      <w:tblBorders>
        <w:top w:val="single" w:sz="2" w:space="0" w:color="707070"/>
        <w:left w:val="single" w:sz="2" w:space="0" w:color="707070"/>
        <w:bottom w:val="single" w:sz="2" w:space="0" w:color="707070"/>
        <w:right w:val="single" w:sz="2" w:space="0" w:color="707070"/>
        <w:insideH w:val="single" w:sz="2" w:space="0" w:color="707070"/>
        <w:insideV w:val="single" w:sz="2" w:space="0" w:color="707070"/>
      </w:tblBorders>
      <w:tblCellMar>
        <w:top w:w="20" w:type="dxa"/>
        <w:left w:w="100" w:type="dxa"/>
        <w:bottom w:w="20" w:type="dxa"/>
        <w:right w:w="100" w:type="dxa"/>
      </w:tblCellMar>
    </w:tblPr>
    <w:trPr>
      <w:jc w:val="center"/>
    </w:trPr>
  </w:style>
  <w:style w:type="character" w:customStyle="1" w:styleId="h1">
    <w:name w:val="h1"/>
    <w:rsid w:val="008734CA"/>
    <w:rPr>
      <w:b/>
      <w:sz w:val="32"/>
    </w:rPr>
  </w:style>
  <w:style w:type="character" w:customStyle="1" w:styleId="h2">
    <w:name w:val="h2"/>
    <w:rsid w:val="008734CA"/>
    <w:rPr>
      <w:b/>
      <w:i/>
      <w:sz w:val="28"/>
    </w:rPr>
  </w:style>
  <w:style w:type="paragraph" w:customStyle="1" w:styleId="h2p">
    <w:name w:val="h2p"/>
    <w:rsid w:val="008734CA"/>
    <w:pPr>
      <w:spacing w:before="200" w:after="100"/>
    </w:pPr>
    <w:rPr>
      <w:rFonts w:ascii="Arial" w:eastAsiaTheme="minorEastAsia" w:hAnsi="Arial" w:cs="Arial"/>
      <w:sz w:val="20"/>
      <w:szCs w:val="20"/>
      <w:lang w:eastAsia="ru-RU"/>
    </w:rPr>
  </w:style>
  <w:style w:type="character" w:customStyle="1" w:styleId="h3">
    <w:name w:val="h3"/>
    <w:rsid w:val="008734CA"/>
    <w:rPr>
      <w:b/>
      <w:sz w:val="21"/>
    </w:rPr>
  </w:style>
  <w:style w:type="paragraph" w:customStyle="1" w:styleId="h3p">
    <w:name w:val="h3p"/>
    <w:rsid w:val="008734CA"/>
    <w:pPr>
      <w:spacing w:after="100"/>
      <w:jc w:val="center"/>
    </w:pPr>
    <w:rPr>
      <w:rFonts w:ascii="Arial" w:eastAsiaTheme="minorEastAsia" w:hAnsi="Arial" w:cs="Arial"/>
      <w:sz w:val="20"/>
      <w:szCs w:val="20"/>
      <w:lang w:eastAsia="ru-RU"/>
    </w:rPr>
  </w:style>
  <w:style w:type="character" w:styleId="ad">
    <w:name w:val="Hyperlink"/>
    <w:basedOn w:val="a0"/>
    <w:uiPriority w:val="99"/>
    <w:unhideWhenUsed/>
    <w:rsid w:val="008734C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959</Words>
  <Characters>5471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ZairaInvest</dc:creator>
  <cp:lastModifiedBy>user</cp:lastModifiedBy>
  <cp:revision>2</cp:revision>
  <dcterms:created xsi:type="dcterms:W3CDTF">2016-12-13T07:42:00Z</dcterms:created>
  <dcterms:modified xsi:type="dcterms:W3CDTF">2016-12-13T07:42:00Z</dcterms:modified>
</cp:coreProperties>
</file>