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8734CA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8734CA">
        <w:rPr>
          <w:rFonts w:ascii="Times New Roman" w:hAnsi="Times New Roman" w:cs="Times New Roman"/>
          <w:sz w:val="28"/>
          <w:szCs w:val="28"/>
        </w:rPr>
        <w:t>657.1.012:336.2</w:t>
      </w:r>
    </w:p>
    <w:p w:rsidR="003F2E26" w:rsidRDefault="00FF4A01" w:rsidP="003656C5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Багандов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И.М</w:t>
      </w:r>
      <w:r w:rsidR="003F2E26">
        <w:rPr>
          <w:rFonts w:ascii="Times New Roman" w:hAnsi="Times New Roman" w:cs="Times New Roman"/>
          <w:i/>
          <w:sz w:val="28"/>
          <w:szCs w:val="28"/>
        </w:rPr>
        <w:t>., магистр</w:t>
      </w:r>
    </w:p>
    <w:p w:rsidR="003F2E26" w:rsidRPr="00550DE8" w:rsidRDefault="003F2E26" w:rsidP="003656C5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3656C5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50DE8">
        <w:rPr>
          <w:rFonts w:ascii="Times New Roman" w:hAnsi="Times New Roman" w:cs="Times New Roman"/>
          <w:i/>
          <w:sz w:val="28"/>
          <w:szCs w:val="28"/>
        </w:rPr>
        <w:t>Омарова</w:t>
      </w:r>
      <w:proofErr w:type="spell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О.Ф., профессор</w:t>
      </w:r>
    </w:p>
    <w:p w:rsidR="00550DE8" w:rsidRPr="00550DE8" w:rsidRDefault="00550DE8" w:rsidP="003656C5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3656C5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 xml:space="preserve">ФГБОУ </w:t>
      </w:r>
      <w:proofErr w:type="gramStart"/>
      <w:r w:rsidRPr="00550DE8">
        <w:rPr>
          <w:rFonts w:ascii="Times New Roman" w:hAnsi="Times New Roman" w:cs="Times New Roman"/>
          <w:i/>
          <w:sz w:val="28"/>
          <w:szCs w:val="28"/>
        </w:rPr>
        <w:t>ВО</w:t>
      </w:r>
      <w:proofErr w:type="gram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«Дагестанский государственный университет»</w:t>
      </w:r>
    </w:p>
    <w:p w:rsidR="00550DE8" w:rsidRDefault="00550DE8" w:rsidP="003656C5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F0BD7" w:rsidRPr="008F0BD7" w:rsidRDefault="008F0BD7" w:rsidP="008F0BD7">
      <w:pPr>
        <w:widowControl w:val="0"/>
        <w:tabs>
          <w:tab w:val="left" w:pos="89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Пути совершенствования организации и учета кредитных операций банка</w:t>
      </w:r>
    </w:p>
    <w:p w:rsidR="008F0BD7" w:rsidRPr="008F0BD7" w:rsidRDefault="008F0BD7" w:rsidP="008F0BD7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Verdana" w:eastAsia="Times New Roman" w:hAnsi="Verdana" w:cs="Times New Roman"/>
          <w:color w:val="000000"/>
          <w:sz w:val="21"/>
          <w:szCs w:val="21"/>
        </w:rPr>
        <w:tab/>
      </w: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 источником получения прибыли для банков являются активные операции, основу которых составляют кредитные операции. Выдача кредитов банком влечет за собой риск </w:t>
      </w:r>
      <w:proofErr w:type="spellStart"/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невозврата</w:t>
      </w:r>
      <w:proofErr w:type="spellEnd"/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предоставленных средств, поэтому, чтобы успешно осуществлять свою дальнейшую деятельность, банкам необходимо принимать меры по совершенствованию системы кредитования. </w:t>
      </w:r>
    </w:p>
    <w:p w:rsidR="008F0BD7" w:rsidRPr="008F0BD7" w:rsidRDefault="008F0BD7" w:rsidP="008F0BD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Основу всех существующих мер, направленных на совершенствование системы кредитования, составляет правильно разработанная система кредитования для каждой группы клиентов, как для физических, так и для юридических лиц. </w:t>
      </w:r>
    </w:p>
    <w:p w:rsidR="008F0BD7" w:rsidRPr="008F0BD7" w:rsidRDefault="008F0BD7" w:rsidP="008F0BD7">
      <w:pPr>
        <w:widowControl w:val="0"/>
        <w:numPr>
          <w:ilvl w:val="0"/>
          <w:numId w:val="4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F0BD7" w:rsidRPr="008F0BD7" w:rsidRDefault="008F0BD7" w:rsidP="008F0BD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проблемами, возникающими при организации и ведении бухгалтерского учета кредитных операций в банках, чаще всего, являются:</w:t>
      </w:r>
    </w:p>
    <w:p w:rsidR="008F0BD7" w:rsidRPr="008F0BD7" w:rsidRDefault="008F0BD7" w:rsidP="008F0BD7">
      <w:pPr>
        <w:widowControl w:val="0"/>
        <w:numPr>
          <w:ilvl w:val="0"/>
          <w:numId w:val="4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нехватка специалистов;</w:t>
      </w:r>
    </w:p>
    <w:p w:rsidR="008F0BD7" w:rsidRPr="008F0BD7" w:rsidRDefault="008F0BD7" w:rsidP="008F0BD7">
      <w:pPr>
        <w:widowControl w:val="0"/>
        <w:numPr>
          <w:ilvl w:val="0"/>
          <w:numId w:val="4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себестоимость осуществления кредитных операций;</w:t>
      </w:r>
    </w:p>
    <w:p w:rsidR="008F0BD7" w:rsidRPr="008F0BD7" w:rsidRDefault="008F0BD7" w:rsidP="008F0BD7">
      <w:pPr>
        <w:widowControl w:val="0"/>
        <w:numPr>
          <w:ilvl w:val="0"/>
          <w:numId w:val="4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низкий уровень сопровождения кредита, приводящий к появлению просроченной задолженности</w:t>
      </w:r>
    </w:p>
    <w:p w:rsidR="008F0BD7" w:rsidRPr="008F0BD7" w:rsidRDefault="008F0BD7" w:rsidP="008F0BD7">
      <w:pPr>
        <w:widowControl w:val="0"/>
        <w:numPr>
          <w:ilvl w:val="0"/>
          <w:numId w:val="4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невысокий уровень предварительного, текущего и последующего контроля кредитного процесса;</w:t>
      </w:r>
    </w:p>
    <w:p w:rsidR="008F0BD7" w:rsidRPr="008F0BD7" w:rsidRDefault="008F0BD7" w:rsidP="008F0BD7">
      <w:pPr>
        <w:widowControl w:val="0"/>
        <w:numPr>
          <w:ilvl w:val="0"/>
          <w:numId w:val="4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слабая система управленческого учета в части кредитных операций и др. </w:t>
      </w:r>
    </w:p>
    <w:p w:rsidR="008F0BD7" w:rsidRPr="008F0BD7" w:rsidRDefault="008F0BD7" w:rsidP="008F0BD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возникающих проблем необходимо, в первую очередь, </w:t>
      </w: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совершенствовать сам кредитный процесс банка. Основные подходы и принципы кредитного процесса должны быть четко зафиксированы во внутренней нормативно-правовой документации. При этом необходимо принимать во внимание истории кредитных сделок, данные бухгалтерского и управленческого учета и отчетности, а также результаты проведенных контролирующими органами проверок и выявленные в ходе проверок несоответствия.</w:t>
      </w:r>
    </w:p>
    <w:p w:rsidR="008F0BD7" w:rsidRPr="008F0BD7" w:rsidRDefault="008F0BD7" w:rsidP="008F0BD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совершенствования бухгалтерс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кого учета кредитных операций </w:t>
      </w: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необходимо:</w:t>
      </w:r>
    </w:p>
    <w:p w:rsidR="008F0BD7" w:rsidRPr="008F0BD7" w:rsidRDefault="008F0BD7" w:rsidP="008F0BD7">
      <w:pPr>
        <w:widowControl w:val="0"/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систему учета данных о клиентах, с целью определения уровня кредитного риска, сроков, объемов и кредитных ставок на каждого отдельного клиента;</w:t>
      </w:r>
    </w:p>
    <w:p w:rsidR="008F0BD7" w:rsidRPr="008F0BD7" w:rsidRDefault="008F0BD7" w:rsidP="008F0BD7">
      <w:pPr>
        <w:widowControl w:val="0"/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совершенствовать технологии автоматизации процесса по отражению и учету кредитных операций;</w:t>
      </w:r>
    </w:p>
    <w:p w:rsidR="008F0BD7" w:rsidRPr="008F0BD7" w:rsidRDefault="008F0BD7" w:rsidP="008F0BD7">
      <w:pPr>
        <w:widowControl w:val="0"/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постоянно повышать профессионализм работников, участвующих в ученом процессе;</w:t>
      </w:r>
    </w:p>
    <w:p w:rsidR="008F0BD7" w:rsidRPr="008F0BD7" w:rsidRDefault="008F0BD7" w:rsidP="008F0BD7">
      <w:pPr>
        <w:widowControl w:val="0"/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эффективную систему управленческого учета кредитных операций, одной из основной задач которой является определение направлений бизнеса (центры затрат, центры доходов, центры прибыли, центры инвестиций);</w:t>
      </w:r>
    </w:p>
    <w:p w:rsidR="008F0BD7" w:rsidRPr="008F0BD7" w:rsidRDefault="008F0BD7" w:rsidP="008F0BD7">
      <w:pPr>
        <w:widowControl w:val="0"/>
        <w:numPr>
          <w:ilvl w:val="0"/>
          <w:numId w:val="4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совершенствовать систему внутреннего контроля, которая будет способствовать строгому соблюдению законодательных и нормативных актов, внутренних регламентов и процедур ведения бухгалтерского учета.</w:t>
      </w:r>
    </w:p>
    <w:p w:rsidR="008F0BD7" w:rsidRPr="008F0BD7" w:rsidRDefault="008F0BD7" w:rsidP="008F0BD7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0BD7">
        <w:rPr>
          <w:rFonts w:ascii="Times New Roman" w:eastAsia="Arial" w:hAnsi="Times New Roman" w:cs="Times New Roman"/>
          <w:sz w:val="28"/>
          <w:szCs w:val="28"/>
        </w:rPr>
        <w:t>В практике российских банков имеет место проблема недостоверной оценки кредитоспособности заемщиков, которая связана с некорректностью используемых банками методик.</w:t>
      </w:r>
    </w:p>
    <w:p w:rsidR="008F0BD7" w:rsidRPr="008F0BD7" w:rsidRDefault="008F0BD7" w:rsidP="008F0BD7">
      <w:pPr>
        <w:widowControl w:val="0"/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F0BD7">
        <w:rPr>
          <w:rFonts w:ascii="Times New Roman" w:eastAsia="Arial" w:hAnsi="Times New Roman" w:cs="Times New Roman"/>
          <w:sz w:val="28"/>
          <w:szCs w:val="28"/>
        </w:rPr>
        <w:tab/>
        <w:t xml:space="preserve">Зачастую банки использует не единую методику оценки кредитоспособности, а отдельные методики для каждой из процедур. В результате один и тот же клиент может получить разные оценки </w:t>
      </w:r>
      <w:r w:rsidRPr="008F0BD7">
        <w:rPr>
          <w:rFonts w:ascii="Times New Roman" w:eastAsia="Arial" w:hAnsi="Times New Roman" w:cs="Times New Roman"/>
          <w:sz w:val="28"/>
          <w:szCs w:val="28"/>
        </w:rPr>
        <w:lastRenderedPageBreak/>
        <w:t xml:space="preserve">кредитоспособности. Так, при формировании РВПС финансовое положение клиентов искусственно завышается, для минимизации величины отчислений, а при анализе кредитной заявки, наоборот, во многих случаях занижается. Очевидно, что когда банк имеет несколько методик, дающих разные результаты при оценке одного и того же заемщика, они не могут быть достоверными. </w:t>
      </w:r>
    </w:p>
    <w:p w:rsidR="008F0BD7" w:rsidRPr="008F0BD7" w:rsidRDefault="008F0BD7" w:rsidP="008F0BD7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F0BD7">
        <w:rPr>
          <w:rFonts w:ascii="Times New Roman" w:eastAsia="Arial" w:hAnsi="Times New Roman" w:cs="Times New Roman"/>
          <w:sz w:val="28"/>
          <w:szCs w:val="28"/>
        </w:rPr>
        <w:tab/>
        <w:t>ЦБ РФ сформулировал свои требования относительно оценки кредитоспособности заемщиков в Положении от 26.03.2004 № 254-П «О порядке формирования кредитными организациями резервов на возможные потери по ссудам, по ссудной и приравненной к ней задолженности».</w:t>
      </w:r>
    </w:p>
    <w:p w:rsidR="008F0BD7" w:rsidRPr="008F0BD7" w:rsidRDefault="008F0BD7" w:rsidP="008F0BD7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BD7">
        <w:rPr>
          <w:rFonts w:ascii="Times New Roman" w:eastAsia="Arial" w:hAnsi="Times New Roman" w:cs="Times New Roman"/>
          <w:sz w:val="28"/>
          <w:szCs w:val="28"/>
        </w:rPr>
        <w:tab/>
      </w:r>
      <w:r w:rsidRPr="008F0BD7">
        <w:rPr>
          <w:rFonts w:ascii="Times New Roman" w:eastAsia="Arial" w:hAnsi="Times New Roman" w:cs="Times New Roman"/>
          <w:sz w:val="28"/>
          <w:szCs w:val="28"/>
        </w:rPr>
        <w:tab/>
        <w:t>При этом</w:t>
      </w:r>
      <w:proofErr w:type="gramStart"/>
      <w:r w:rsidRPr="008F0BD7">
        <w:rPr>
          <w:rFonts w:ascii="Times New Roman" w:eastAsia="Arial" w:hAnsi="Times New Roman" w:cs="Times New Roman"/>
          <w:sz w:val="28"/>
          <w:szCs w:val="28"/>
        </w:rPr>
        <w:t>,</w:t>
      </w:r>
      <w:proofErr w:type="gramEnd"/>
      <w:r w:rsidRPr="008F0BD7">
        <w:rPr>
          <w:rFonts w:ascii="Times New Roman" w:eastAsia="Arial" w:hAnsi="Times New Roman" w:cs="Times New Roman"/>
          <w:sz w:val="28"/>
          <w:szCs w:val="28"/>
        </w:rPr>
        <w:t xml:space="preserve"> неадекватная оценка кредитоспособности заемщиков обусловлена не только несовершенством применяемых методик </w:t>
      </w:r>
      <w:proofErr w:type="spellStart"/>
      <w:r w:rsidRPr="008F0BD7">
        <w:rPr>
          <w:rFonts w:ascii="Times New Roman" w:eastAsia="Arial" w:hAnsi="Times New Roman" w:cs="Times New Roman"/>
          <w:sz w:val="28"/>
          <w:szCs w:val="28"/>
        </w:rPr>
        <w:t>рейтингования</w:t>
      </w:r>
      <w:proofErr w:type="spellEnd"/>
      <w:r w:rsidRPr="008F0BD7">
        <w:rPr>
          <w:rFonts w:ascii="Times New Roman" w:eastAsia="Arial" w:hAnsi="Times New Roman" w:cs="Times New Roman"/>
          <w:sz w:val="28"/>
          <w:szCs w:val="28"/>
        </w:rPr>
        <w:t xml:space="preserve">, но и частой сменой используемых методик анализа кредитоспособности. </w:t>
      </w: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Коммерческие банки должны использовать единую достоверную, утвержденную методику оценки кредитоспособности заемщиков (как в целях формирования резерва на возможные потери по ссудам в соответствии с Положением Банка России № 254-П, так и при анализе кредитных заявок клиентов), интегрируемую в последовательный процесс управления кредитным риском и поддерживающую его непрерывность. </w:t>
      </w:r>
    </w:p>
    <w:p w:rsidR="008F0BD7" w:rsidRPr="008F0BD7" w:rsidRDefault="008F0BD7" w:rsidP="008F0BD7">
      <w:pPr>
        <w:widowControl w:val="0"/>
        <w:tabs>
          <w:tab w:val="left" w:pos="893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</w:rPr>
      </w:pPr>
      <w:r w:rsidRPr="008F0BD7">
        <w:rPr>
          <w:rFonts w:ascii="Times New Roman" w:eastAsia="Times New Roman" w:hAnsi="Times New Roman" w:cs="Times New Roman"/>
          <w:sz w:val="28"/>
          <w:szCs w:val="28"/>
        </w:rPr>
        <w:t xml:space="preserve">Одной из важнейших проблем большинства российских банков является несовершенство инструментария оценки кредитоспособности заемщиков. Прежде всего, это связано с тем, что большая часть используемых методик кредитного анализа не интегрированы в последовательный процесс управления кредитным риском. То есть получаемый результат не может использоваться как отправной момент следующего этапа управления риском - определения вероятности дефолта в каждой рейтинговой группе. Но при этом, в случае излишней формализации методик, не учитывается ряд существенных характеристик уровня кредитоспособности заемщиков, которые придают достоверность итоговой </w:t>
      </w:r>
      <w:r w:rsidRPr="008F0BD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оценке кредитоспособности.  В этой связи, </w:t>
      </w: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коммерческим банкам следует применять современный инструментарий оценки кредитоспособности заемщиков, подразумевающий присвоение рейтинговой оценки, что необходимо для перехода к стандартам банковского дела, рекомендованным Базелем II.</w:t>
      </w:r>
      <w:r w:rsidRPr="008F0BD7">
        <w:rPr>
          <w:rFonts w:ascii="Arial" w:eastAsia="Arial" w:hAnsi="Arial" w:cs="Arial"/>
          <w:color w:val="000000"/>
        </w:rPr>
        <w:t xml:space="preserve"> </w:t>
      </w:r>
    </w:p>
    <w:p w:rsidR="008F0BD7" w:rsidRPr="008F0BD7" w:rsidRDefault="008F0BD7" w:rsidP="008F0BD7">
      <w:pPr>
        <w:widowControl w:val="0"/>
        <w:tabs>
          <w:tab w:val="left" w:pos="893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</w:rPr>
      </w:pPr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того</w:t>
      </w:r>
      <w:proofErr w:type="gramStart"/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8F0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результат анализа кредитоспособности заемщика использовался в качестве отправного момента следующего этапа управления кредитным риском, в российских коммерческих банках должны внедряться и модернизироваться методики присвоения кредитных рейтингов банковским заемщикам.</w:t>
      </w:r>
      <w:r w:rsidRPr="008F0BD7">
        <w:rPr>
          <w:rFonts w:ascii="Arial" w:eastAsia="Arial" w:hAnsi="Arial" w:cs="Arial"/>
          <w:color w:val="000000"/>
        </w:rPr>
        <w:t xml:space="preserve"> </w:t>
      </w:r>
    </w:p>
    <w:p w:rsidR="008F0BD7" w:rsidRPr="008F0BD7" w:rsidRDefault="008F0BD7" w:rsidP="008F0BD7">
      <w:pPr>
        <w:widowControl w:val="0"/>
        <w:tabs>
          <w:tab w:val="left" w:pos="8931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0BD7">
        <w:rPr>
          <w:rFonts w:ascii="Times New Roman" w:eastAsia="Times New Roman" w:hAnsi="Times New Roman" w:cs="Times New Roman"/>
          <w:sz w:val="28"/>
          <w:szCs w:val="28"/>
        </w:rPr>
        <w:t xml:space="preserve">Следствием недостаточного </w:t>
      </w:r>
      <w:proofErr w:type="gramStart"/>
      <w:r w:rsidRPr="008F0BD7">
        <w:rPr>
          <w:rFonts w:ascii="Times New Roman" w:eastAsia="Times New Roman" w:hAnsi="Times New Roman" w:cs="Times New Roman"/>
          <w:sz w:val="28"/>
          <w:szCs w:val="28"/>
        </w:rPr>
        <w:t>уровня стандартизации методики оценки кредитоспособности</w:t>
      </w:r>
      <w:proofErr w:type="gramEnd"/>
      <w:r w:rsidRPr="008F0BD7">
        <w:rPr>
          <w:rFonts w:ascii="Times New Roman" w:eastAsia="Times New Roman" w:hAnsi="Times New Roman" w:cs="Times New Roman"/>
          <w:sz w:val="28"/>
          <w:szCs w:val="28"/>
        </w:rPr>
        <w:t xml:space="preserve"> являются неоднозначные результаты.</w:t>
      </w:r>
      <w:r w:rsidRPr="008F0BD7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8F0BD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8F0BD7">
        <w:rPr>
          <w:rFonts w:ascii="Times New Roman" w:eastAsia="Times New Roman" w:hAnsi="Times New Roman" w:cs="Times New Roman"/>
          <w:sz w:val="28"/>
          <w:szCs w:val="28"/>
        </w:rPr>
        <w:t>Для повышения эффективности работы, как специалистов, так и руководителей необходимо стандартизировать кредитный процесс, увязывая его с видом заемщиков, кредитными продуктами и уровнем риска. При этом</w:t>
      </w:r>
      <w:proofErr w:type="gramStart"/>
      <w:r w:rsidRPr="008F0BD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F0BD7"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учитывать то, что стандартизация невозможна без формализованной рейтинговой оценки заемщиков, а также создания централизованных IT-систем поддержки кредитного процесса.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3656C5" w:rsidRPr="003656C5" w:rsidRDefault="003656C5" w:rsidP="003656C5">
      <w:pPr>
        <w:pStyle w:val="a3"/>
        <w:widowControl w:val="0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6C5">
        <w:rPr>
          <w:rFonts w:ascii="Times New Roman" w:hAnsi="Times New Roman" w:cs="Times New Roman"/>
          <w:sz w:val="28"/>
          <w:szCs w:val="28"/>
        </w:rPr>
        <w:t>Коротких Е.В. Применение МСФО в кредитной организации: практика, анализ проблем, рекомендации: Методическое пособие. – М.: Регламент,  20</w:t>
      </w:r>
      <w:r>
        <w:rPr>
          <w:rFonts w:ascii="Times New Roman" w:hAnsi="Times New Roman" w:cs="Times New Roman"/>
          <w:sz w:val="28"/>
          <w:szCs w:val="28"/>
        </w:rPr>
        <w:t>12</w:t>
      </w:r>
      <w:bookmarkStart w:id="0" w:name="_GoBack"/>
      <w:bookmarkEnd w:id="0"/>
      <w:r w:rsidRPr="003656C5">
        <w:rPr>
          <w:rFonts w:ascii="Times New Roman" w:hAnsi="Times New Roman" w:cs="Times New Roman"/>
          <w:sz w:val="28"/>
          <w:szCs w:val="28"/>
        </w:rPr>
        <w:t xml:space="preserve">. - 93 </w:t>
      </w:r>
      <w:proofErr w:type="gramStart"/>
      <w:r w:rsidRPr="003656C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656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56C5" w:rsidRPr="003656C5" w:rsidRDefault="003656C5" w:rsidP="003656C5">
      <w:pPr>
        <w:pStyle w:val="a3"/>
        <w:widowControl w:val="0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56C5">
        <w:rPr>
          <w:rFonts w:ascii="Times New Roman" w:hAnsi="Times New Roman" w:cs="Times New Roman"/>
          <w:sz w:val="28"/>
          <w:szCs w:val="28"/>
        </w:rPr>
        <w:t>Усатова</w:t>
      </w:r>
      <w:proofErr w:type="spellEnd"/>
      <w:r w:rsidRPr="003656C5">
        <w:rPr>
          <w:rFonts w:ascii="Times New Roman" w:hAnsi="Times New Roman" w:cs="Times New Roman"/>
          <w:sz w:val="28"/>
          <w:szCs w:val="28"/>
        </w:rPr>
        <w:t xml:space="preserve"> Л. В. Бухгалтерский учет в коммерческих банках. – М.: Дашков и К, 201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656C5">
        <w:rPr>
          <w:rFonts w:ascii="Times New Roman" w:hAnsi="Times New Roman" w:cs="Times New Roman"/>
          <w:sz w:val="28"/>
          <w:szCs w:val="28"/>
        </w:rPr>
        <w:t xml:space="preserve">. – 392 </w:t>
      </w:r>
      <w:proofErr w:type="gramStart"/>
      <w:r w:rsidRPr="003656C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656C5">
        <w:rPr>
          <w:rFonts w:ascii="Times New Roman" w:hAnsi="Times New Roman" w:cs="Times New Roman"/>
          <w:sz w:val="28"/>
          <w:szCs w:val="28"/>
        </w:rPr>
        <w:t>.</w:t>
      </w:r>
    </w:p>
    <w:p w:rsidR="003656C5" w:rsidRPr="003656C5" w:rsidRDefault="003656C5" w:rsidP="003656C5">
      <w:pPr>
        <w:pStyle w:val="a3"/>
        <w:widowControl w:val="0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656C5">
        <w:rPr>
          <w:rFonts w:ascii="Times New Roman" w:hAnsi="Times New Roman" w:cs="Times New Roman"/>
          <w:sz w:val="28"/>
          <w:szCs w:val="28"/>
        </w:rPr>
        <w:t>Шаталов А.Н, Шаталова Е.П.  Кредитный анализ в российских банках: проблемы и пути совершенствования// Банковское дело. -201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656C5">
        <w:rPr>
          <w:rFonts w:ascii="Times New Roman" w:hAnsi="Times New Roman" w:cs="Times New Roman"/>
          <w:sz w:val="28"/>
          <w:szCs w:val="28"/>
        </w:rPr>
        <w:t>. №6 – С. 40-45</w:t>
      </w:r>
    </w:p>
    <w:p w:rsidR="003656C5" w:rsidRDefault="003656C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656C5" w:rsidSect="00C411A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A50" w:rsidRDefault="00410A50" w:rsidP="003D79FF">
      <w:pPr>
        <w:spacing w:after="0" w:line="240" w:lineRule="auto"/>
      </w:pPr>
      <w:r>
        <w:separator/>
      </w:r>
    </w:p>
  </w:endnote>
  <w:endnote w:type="continuationSeparator" w:id="0">
    <w:p w:rsidR="00410A50" w:rsidRDefault="00410A50" w:rsidP="003D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326012"/>
      <w:docPartObj>
        <w:docPartGallery w:val="Page Numbers (Bottom of Page)"/>
        <w:docPartUnique/>
      </w:docPartObj>
    </w:sdtPr>
    <w:sdtContent>
      <w:p w:rsidR="003D79FF" w:rsidRDefault="00C411AF">
        <w:pPr>
          <w:pStyle w:val="a6"/>
          <w:jc w:val="right"/>
        </w:pPr>
        <w:r>
          <w:fldChar w:fldCharType="begin"/>
        </w:r>
        <w:r w:rsidR="003D79FF">
          <w:instrText>PAGE   \* MERGEFORMAT</w:instrText>
        </w:r>
        <w:r>
          <w:fldChar w:fldCharType="separate"/>
        </w:r>
        <w:r w:rsidR="00043F97">
          <w:rPr>
            <w:noProof/>
          </w:rPr>
          <w:t>1</w:t>
        </w:r>
        <w:r>
          <w:fldChar w:fldCharType="end"/>
        </w:r>
      </w:p>
    </w:sdtContent>
  </w:sdt>
  <w:p w:rsidR="003D79FF" w:rsidRDefault="003D79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A50" w:rsidRDefault="00410A50" w:rsidP="003D79FF">
      <w:pPr>
        <w:spacing w:after="0" w:line="240" w:lineRule="auto"/>
      </w:pPr>
      <w:r>
        <w:separator/>
      </w:r>
    </w:p>
  </w:footnote>
  <w:footnote w:type="continuationSeparator" w:id="0">
    <w:p w:rsidR="00410A50" w:rsidRDefault="00410A50" w:rsidP="003D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F6B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3555FC"/>
    <w:multiLevelType w:val="hybridMultilevel"/>
    <w:tmpl w:val="333E62A0"/>
    <w:lvl w:ilvl="0" w:tplc="D07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44A53"/>
    <w:multiLevelType w:val="hybridMultilevel"/>
    <w:tmpl w:val="3F1E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2DEA"/>
    <w:multiLevelType w:val="multilevel"/>
    <w:tmpl w:val="581237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4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24078A"/>
    <w:multiLevelType w:val="hybridMultilevel"/>
    <w:tmpl w:val="B2980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5C728EF"/>
    <w:multiLevelType w:val="hybridMultilevel"/>
    <w:tmpl w:val="341E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A18436A"/>
    <w:multiLevelType w:val="multilevel"/>
    <w:tmpl w:val="F8821F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1C995056"/>
    <w:multiLevelType w:val="hybridMultilevel"/>
    <w:tmpl w:val="58A8B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41C0511"/>
    <w:multiLevelType w:val="hybridMultilevel"/>
    <w:tmpl w:val="35CA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6BD4D87"/>
    <w:multiLevelType w:val="hybridMultilevel"/>
    <w:tmpl w:val="08888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C6637"/>
    <w:multiLevelType w:val="multilevel"/>
    <w:tmpl w:val="9766AD4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8">
    <w:nsid w:val="2B004F21"/>
    <w:multiLevelType w:val="multilevel"/>
    <w:tmpl w:val="C17E7B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>
    <w:nsid w:val="30CB12CF"/>
    <w:multiLevelType w:val="multilevel"/>
    <w:tmpl w:val="8690B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BDD3D6B"/>
    <w:multiLevelType w:val="hybridMultilevel"/>
    <w:tmpl w:val="C5C0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1D52D4"/>
    <w:multiLevelType w:val="hybridMultilevel"/>
    <w:tmpl w:val="9C76F6D4"/>
    <w:lvl w:ilvl="0" w:tplc="CF66F91E">
      <w:start w:val="1"/>
      <w:numFmt w:val="decimal"/>
      <w:lvlText w:val="%1."/>
      <w:lvlJc w:val="left"/>
      <w:pPr>
        <w:ind w:left="100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3F2E12FE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EBE1379"/>
    <w:multiLevelType w:val="hybridMultilevel"/>
    <w:tmpl w:val="8F22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14D3E82"/>
    <w:multiLevelType w:val="multilevel"/>
    <w:tmpl w:val="875EB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>
    <w:nsid w:val="5D6007A7"/>
    <w:multiLevelType w:val="multilevel"/>
    <w:tmpl w:val="A17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52342D2"/>
    <w:multiLevelType w:val="hybridMultilevel"/>
    <w:tmpl w:val="7E482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E1F28"/>
    <w:multiLevelType w:val="multilevel"/>
    <w:tmpl w:val="D1D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1018A2"/>
    <w:multiLevelType w:val="hybridMultilevel"/>
    <w:tmpl w:val="71924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2AC71E8"/>
    <w:multiLevelType w:val="multilevel"/>
    <w:tmpl w:val="581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7CC1570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72607F"/>
    <w:multiLevelType w:val="hybridMultilevel"/>
    <w:tmpl w:val="43906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CF5240"/>
    <w:multiLevelType w:val="hybridMultilevel"/>
    <w:tmpl w:val="4ED6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25"/>
  </w:num>
  <w:num w:numId="3">
    <w:abstractNumId w:val="32"/>
  </w:num>
  <w:num w:numId="4">
    <w:abstractNumId w:val="21"/>
  </w:num>
  <w:num w:numId="5">
    <w:abstractNumId w:val="35"/>
  </w:num>
  <w:num w:numId="6">
    <w:abstractNumId w:val="30"/>
  </w:num>
  <w:num w:numId="7">
    <w:abstractNumId w:val="8"/>
  </w:num>
  <w:num w:numId="8">
    <w:abstractNumId w:val="15"/>
  </w:num>
  <w:num w:numId="9">
    <w:abstractNumId w:val="13"/>
  </w:num>
  <w:num w:numId="10">
    <w:abstractNumId w:val="27"/>
  </w:num>
  <w:num w:numId="11">
    <w:abstractNumId w:val="47"/>
  </w:num>
  <w:num w:numId="12">
    <w:abstractNumId w:val="36"/>
  </w:num>
  <w:num w:numId="13">
    <w:abstractNumId w:val="5"/>
  </w:num>
  <w:num w:numId="14">
    <w:abstractNumId w:val="28"/>
  </w:num>
  <w:num w:numId="15">
    <w:abstractNumId w:val="26"/>
  </w:num>
  <w:num w:numId="16">
    <w:abstractNumId w:val="6"/>
  </w:num>
  <w:num w:numId="17">
    <w:abstractNumId w:val="4"/>
  </w:num>
  <w:num w:numId="18">
    <w:abstractNumId w:val="20"/>
  </w:num>
  <w:num w:numId="19">
    <w:abstractNumId w:val="43"/>
  </w:num>
  <w:num w:numId="20">
    <w:abstractNumId w:val="42"/>
  </w:num>
  <w:num w:numId="21">
    <w:abstractNumId w:val="40"/>
  </w:num>
  <w:num w:numId="22">
    <w:abstractNumId w:val="10"/>
  </w:num>
  <w:num w:numId="23">
    <w:abstractNumId w:val="45"/>
  </w:num>
  <w:num w:numId="24">
    <w:abstractNumId w:val="3"/>
  </w:num>
  <w:num w:numId="25">
    <w:abstractNumId w:val="24"/>
  </w:num>
  <w:num w:numId="26">
    <w:abstractNumId w:val="11"/>
  </w:num>
  <w:num w:numId="27">
    <w:abstractNumId w:val="31"/>
  </w:num>
  <w:num w:numId="28">
    <w:abstractNumId w:val="1"/>
  </w:num>
  <w:num w:numId="29">
    <w:abstractNumId w:val="41"/>
  </w:num>
  <w:num w:numId="30">
    <w:abstractNumId w:val="2"/>
  </w:num>
  <w:num w:numId="31">
    <w:abstractNumId w:val="14"/>
  </w:num>
  <w:num w:numId="32">
    <w:abstractNumId w:val="38"/>
  </w:num>
  <w:num w:numId="33">
    <w:abstractNumId w:val="34"/>
  </w:num>
  <w:num w:numId="34">
    <w:abstractNumId w:val="29"/>
  </w:num>
  <w:num w:numId="35">
    <w:abstractNumId w:val="44"/>
  </w:num>
  <w:num w:numId="36">
    <w:abstractNumId w:val="0"/>
  </w:num>
  <w:num w:numId="37">
    <w:abstractNumId w:val="18"/>
  </w:num>
  <w:num w:numId="38">
    <w:abstractNumId w:val="22"/>
  </w:num>
  <w:num w:numId="39">
    <w:abstractNumId w:val="19"/>
  </w:num>
  <w:num w:numId="40">
    <w:abstractNumId w:val="16"/>
  </w:num>
  <w:num w:numId="41">
    <w:abstractNumId w:val="37"/>
  </w:num>
  <w:num w:numId="42">
    <w:abstractNumId w:val="39"/>
  </w:num>
  <w:num w:numId="43">
    <w:abstractNumId w:val="7"/>
  </w:num>
  <w:num w:numId="44">
    <w:abstractNumId w:val="12"/>
  </w:num>
  <w:num w:numId="45">
    <w:abstractNumId w:val="9"/>
  </w:num>
  <w:num w:numId="46">
    <w:abstractNumId w:val="46"/>
  </w:num>
  <w:num w:numId="47">
    <w:abstractNumId w:val="1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43F97"/>
    <w:rsid w:val="000B5E47"/>
    <w:rsid w:val="002B2738"/>
    <w:rsid w:val="00300CAC"/>
    <w:rsid w:val="00325DEF"/>
    <w:rsid w:val="00336012"/>
    <w:rsid w:val="003656C5"/>
    <w:rsid w:val="003D79FF"/>
    <w:rsid w:val="003F2E26"/>
    <w:rsid w:val="00410A50"/>
    <w:rsid w:val="00416615"/>
    <w:rsid w:val="004C24F1"/>
    <w:rsid w:val="005006A5"/>
    <w:rsid w:val="00550DE8"/>
    <w:rsid w:val="0056057C"/>
    <w:rsid w:val="005862A8"/>
    <w:rsid w:val="007C4023"/>
    <w:rsid w:val="00817664"/>
    <w:rsid w:val="008734CA"/>
    <w:rsid w:val="008F0BD7"/>
    <w:rsid w:val="00C411AF"/>
    <w:rsid w:val="00D75E12"/>
    <w:rsid w:val="00DB554D"/>
    <w:rsid w:val="00DF0FD1"/>
    <w:rsid w:val="00E9319E"/>
    <w:rsid w:val="00EA3FF2"/>
    <w:rsid w:val="00FF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734CA"/>
  </w:style>
  <w:style w:type="paragraph" w:styleId="aa">
    <w:name w:val="Normal (Web)"/>
    <w:basedOn w:val="a"/>
    <w:uiPriority w:val="99"/>
    <w:unhideWhenUsed/>
    <w:rsid w:val="0087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8734CA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8734CA"/>
    <w:rPr>
      <w:rFonts w:cs="Times New Roman"/>
      <w:b/>
      <w:bCs/>
    </w:rPr>
  </w:style>
  <w:style w:type="character" w:customStyle="1" w:styleId="t1">
    <w:name w:val="t1"/>
    <w:rsid w:val="008734CA"/>
    <w:rPr>
      <w:sz w:val="21"/>
    </w:rPr>
  </w:style>
  <w:style w:type="paragraph" w:customStyle="1" w:styleId="t1p">
    <w:name w:val="t1p"/>
    <w:rsid w:val="008734CA"/>
    <w:pPr>
      <w:spacing w:after="100"/>
      <w:ind w:firstLine="38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table" w:customStyle="1" w:styleId="TableStyle">
    <w:name w:val="TableStyle"/>
    <w:uiPriority w:val="99"/>
    <w:rsid w:val="008734CA"/>
    <w:rPr>
      <w:rFonts w:ascii="Arial" w:eastAsiaTheme="minorEastAsia" w:hAnsi="Arial" w:cs="Arial"/>
      <w:sz w:val="20"/>
      <w:szCs w:val="20"/>
      <w:lang w:eastAsia="ru-RU"/>
    </w:rPr>
    <w:tblPr>
      <w:jc w:val="center"/>
      <w:tblBorders>
        <w:top w:val="single" w:sz="2" w:space="0" w:color="707070"/>
        <w:left w:val="single" w:sz="2" w:space="0" w:color="707070"/>
        <w:bottom w:val="single" w:sz="2" w:space="0" w:color="707070"/>
        <w:right w:val="single" w:sz="2" w:space="0" w:color="707070"/>
        <w:insideH w:val="single" w:sz="2" w:space="0" w:color="707070"/>
        <w:insideV w:val="single" w:sz="2" w:space="0" w:color="707070"/>
      </w:tblBorders>
      <w:tblCellMar>
        <w:top w:w="20" w:type="dxa"/>
        <w:left w:w="100" w:type="dxa"/>
        <w:bottom w:w="20" w:type="dxa"/>
        <w:right w:w="100" w:type="dxa"/>
      </w:tblCellMar>
    </w:tblPr>
    <w:trPr>
      <w:jc w:val="center"/>
    </w:trPr>
  </w:style>
  <w:style w:type="character" w:customStyle="1" w:styleId="h1">
    <w:name w:val="h1"/>
    <w:rsid w:val="008734CA"/>
    <w:rPr>
      <w:b/>
      <w:sz w:val="32"/>
    </w:rPr>
  </w:style>
  <w:style w:type="character" w:customStyle="1" w:styleId="h2">
    <w:name w:val="h2"/>
    <w:rsid w:val="008734CA"/>
    <w:rPr>
      <w:b/>
      <w:i/>
      <w:sz w:val="28"/>
    </w:rPr>
  </w:style>
  <w:style w:type="paragraph" w:customStyle="1" w:styleId="h2p">
    <w:name w:val="h2p"/>
    <w:rsid w:val="008734CA"/>
    <w:pPr>
      <w:spacing w:before="200" w:after="100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h3">
    <w:name w:val="h3"/>
    <w:rsid w:val="008734CA"/>
    <w:rPr>
      <w:b/>
      <w:sz w:val="21"/>
    </w:rPr>
  </w:style>
  <w:style w:type="paragraph" w:customStyle="1" w:styleId="h3p">
    <w:name w:val="h3p"/>
    <w:rsid w:val="008734CA"/>
    <w:pPr>
      <w:spacing w:after="100"/>
      <w:jc w:val="center"/>
    </w:pPr>
    <w:rPr>
      <w:rFonts w:ascii="Arial" w:eastAsiaTheme="minorEastAsia" w:hAnsi="Arial" w:cs="Arial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873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2016-12-13T07:43:00Z</dcterms:created>
  <dcterms:modified xsi:type="dcterms:W3CDTF">2016-12-13T07:43:00Z</dcterms:modified>
</cp:coreProperties>
</file>