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pPr>
      <w:r>
        <w:rPr>
          <w:rFonts w:ascii="Arial" w:cs="Arial" w:eastAsia="Arial" w:hAnsi="Arial"/>
          <w:b/>
          <w:bCs/>
          <w:color w:val="1F4E79"/>
          <w:sz w:val="56"/>
          <w:szCs w:val="56"/>
        </w:rPr>
        <w:t xml:space="preserve">Financial Dataset Report</w:t>
      </w:r>
    </w:p>
    <w:p>
      <w:pPr>
        <w:spacing w:after="80"/>
      </w:pPr>
      <w:r>
        <w:rPr>
          <w:rFonts w:ascii="Arial" w:cs="Arial" w:eastAsia="Arial" w:hAnsi="Arial"/>
          <w:color w:val="555555"/>
          <w:sz w:val="26"/>
          <w:szCs w:val="26"/>
        </w:rPr>
        <w:t xml:space="preserve">Invoices · Receipts · Bank Statement · Reconciliation</w:t>
      </w:r>
    </w:p>
    <w:p>
      <w:pPr>
        <w:spacing w:after="80"/>
      </w:pPr>
      <w:r>
        <w:rPr>
          <w:i/>
          <w:iCs/>
          <w:color w:val="888888"/>
          <w:sz w:val="20"/>
          <w:szCs w:val="20"/>
        </w:rPr>
        <w:t xml:space="preserve">Prepared: 19 February 2026  |  Confidential – Finance Team</w:t>
      </w:r>
    </w:p>
    <w:p>
      <w:pPr>
        <w:pBdr>
          <w:bottom w:val="single" w:color="CCCCCC" w:sz="2"/>
        </w:pBdr>
        <w:spacing w:before="80" w:after="80"/>
      </w:pPr>
    </w:p>
    <w:p>
      <w:pPr>
        <w:spacing w:after="200"/>
      </w:pPr>
    </w:p>
    <w:p>
      <w:pPr>
        <w:pStyle w:val="Heading1"/>
      </w:pPr>
      <w:r>
        <w:t xml:space="preserve">1. Executive Summary</w:t>
      </w:r>
    </w:p>
    <w:p>
      <w:pPr>
        <w:spacing w:after="120"/>
      </w:pPr>
      <w:r>
        <w:t xml:space="preserve">This report consolidates financial activity drawn from 200 vendor invoices, 150 receipts, and 352 bank transactions recorded across five currencies. The dataset spans late December 2025 through early April 2026. Key observations are:</w:t>
      </w:r>
    </w:p>
    <w:p>
      <w:pPr>
        <w:pStyle w:val="ListParagraph"/>
        <w:numPr>
          <w:ilvl w:val="0"/>
          <w:numId w:val="2"/>
        </w:numPr>
        <w:spacing w:after="80"/>
      </w:pPr>
      <w:r>
        <w:rPr>
          <w:sz w:val="20"/>
          <w:szCs w:val="20"/>
        </w:rPr>
        <w:t xml:space="preserve">Only 19% of invoices are fully PAID; 30.5% are VOID and a combined 50.5% remain open or partially paid, creating a material accounts-receivable risk.</w:t>
      </w:r>
    </w:p>
    <w:p>
      <w:pPr>
        <w:pStyle w:val="ListParagraph"/>
        <w:numPr>
          <w:ilvl w:val="0"/>
          <w:numId w:val="2"/>
        </w:numPr>
        <w:spacing w:after="80"/>
      </w:pPr>
      <w:r>
        <w:rPr>
          <w:sz w:val="20"/>
          <w:szCs w:val="20"/>
        </w:rPr>
        <w:t xml:space="preserve">43 invoices are overdue (status OPEN or PARTIALLY_PAID with a past due date), representing an immediate follow-up priority.</w:t>
      </w:r>
    </w:p>
    <w:p>
      <w:pPr>
        <w:pStyle w:val="ListParagraph"/>
        <w:numPr>
          <w:ilvl w:val="0"/>
          <w:numId w:val="2"/>
        </w:numPr>
        <w:spacing w:after="80"/>
      </w:pPr>
      <w:r>
        <w:rPr>
          <w:sz w:val="20"/>
          <w:szCs w:val="20"/>
        </w:rPr>
        <w:t xml:space="preserve">131 reconciliation exceptions were identified: 85 potential mismatches, 29 documents with no matching bank entry, and 17 bank transactions without a supporting document.</w:t>
      </w:r>
    </w:p>
    <w:p>
      <w:pPr>
        <w:pStyle w:val="ListParagraph"/>
        <w:numPr>
          <w:ilvl w:val="0"/>
          <w:numId w:val="2"/>
        </w:numPr>
        <w:spacing w:after="80"/>
      </w:pPr>
      <w:r>
        <w:rPr>
          <w:sz w:val="20"/>
          <w:szCs w:val="20"/>
        </w:rPr>
        <w:t xml:space="preserve">Total invoice value (mixed currencies) stands at 30,280.91 while bank outflows total 47,529.14, indicating additional activity or currency conversion gaps requiring investigation.</w:t>
      </w:r>
    </w:p>
    <w:p>
      <w:pPr>
        <w:pStyle w:val="ListParagraph"/>
        <w:numPr>
          <w:ilvl w:val="0"/>
          <w:numId w:val="2"/>
        </w:numPr>
        <w:spacing w:after="80"/>
      </w:pPr>
      <w:r>
        <w:rPr>
          <w:sz w:val="20"/>
          <w:szCs w:val="20"/>
        </w:rPr>
        <w:t xml:space="preserve">Payment channel exposure is broadly diversified: Cash and Internal Transfer are each the most common at 18.5%, while card-based payments represent the lowest share at 14.2%.</w:t>
      </w:r>
    </w:p>
    <w:p>
      <w:pPr>
        <w:spacing w:after="200"/>
      </w:pPr>
    </w:p>
    <w:p>
      <w:pPr>
        <w:pStyle w:val="Heading1"/>
      </w:pPr>
      <w:r>
        <w:t xml:space="preserve">2. Dataset Overview</w:t>
      </w:r>
    </w:p>
    <w:p>
      <w:pPr>
        <w:spacing w:after="120"/>
      </w:pPr>
      <w:r>
        <w:t xml:space="preserve">The analysis is based on the following source 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Source</w:t>
            </w:r>
          </w:p>
        </w:tc>
        <w:tc>
          <w:tcPr>
            <w:tcW w:type="dxa" w:w="12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Records</w:t>
            </w:r>
          </w:p>
        </w:tc>
        <w:tc>
          <w:tcPr>
            <w:tcW w:type="dxa" w:w="55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Notes</w:t>
            </w:r>
          </w:p>
        </w:tc>
      </w:tr>
      <w:tr>
        <w:tc>
          <w:tcPr>
            <w:tcW w:type="dxa" w:w="2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Invoices (header)</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200</w:t>
            </w:r>
          </w:p>
        </w:tc>
        <w:tc>
          <w:tcPr>
            <w:tcW w:type="dxa" w:w="55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17-column header: status, amounts, dates, vendor/customer</w:t>
            </w:r>
          </w:p>
        </w:tc>
      </w:tr>
      <w:tr>
        <w:tc>
          <w:tcPr>
            <w:tcW w:type="dxa" w:w="2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Invoice line items</w:t>
            </w:r>
          </w:p>
        </w:tc>
        <w:tc>
          <w:tcPr>
            <w:tcW w:type="dxa" w:w="1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922</w:t>
            </w:r>
          </w:p>
        </w:tc>
        <w:tc>
          <w:tcPr>
            <w:tcW w:type="dxa" w:w="55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SKU-level detail per invoice</w:t>
            </w:r>
          </w:p>
        </w:tc>
      </w:tr>
      <w:tr>
        <w:tc>
          <w:tcPr>
            <w:tcW w:type="dxa" w:w="2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Receipts (header)</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150</w:t>
            </w:r>
          </w:p>
        </w:tc>
        <w:tc>
          <w:tcPr>
            <w:tcW w:type="dxa" w:w="55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Same schema as invoices; doc_type = receipt</w:t>
            </w:r>
          </w:p>
        </w:tc>
      </w:tr>
      <w:tr>
        <w:tc>
          <w:tcPr>
            <w:tcW w:type="dxa" w:w="2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Receipt line items</w:t>
            </w:r>
          </w:p>
        </w:tc>
        <w:tc>
          <w:tcPr>
            <w:tcW w:type="dxa" w:w="1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674</w:t>
            </w:r>
          </w:p>
        </w:tc>
        <w:tc>
          <w:tcPr>
            <w:tcW w:type="dxa" w:w="55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SKU-level detail per receipt</w:t>
            </w:r>
          </w:p>
        </w:tc>
      </w:tr>
      <w:tr>
        <w:tc>
          <w:tcPr>
            <w:tcW w:type="dxa" w:w="2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Bank statement</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352</w:t>
            </w:r>
          </w:p>
        </w:tc>
        <w:tc>
          <w:tcPr>
            <w:tcW w:type="dxa" w:w="55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Booking date, amount, counterparty, channel</w:t>
            </w:r>
          </w:p>
        </w:tc>
      </w:tr>
      <w:tr>
        <w:tc>
          <w:tcPr>
            <w:tcW w:type="dxa" w:w="2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Reconciliation issues</w:t>
            </w:r>
          </w:p>
        </w:tc>
        <w:tc>
          <w:tcPr>
            <w:tcW w:type="dxa" w:w="1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131</w:t>
            </w:r>
          </w:p>
        </w:tc>
        <w:tc>
          <w:tcPr>
            <w:tcW w:type="dxa" w:w="55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Exceptions flagged during automated matching</w:t>
            </w:r>
          </w:p>
        </w:tc>
      </w:tr>
      <w:tr>
        <w:tc>
          <w:tcPr>
            <w:tcW w:type="dxa" w:w="2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Ground-truth links</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378</w:t>
            </w:r>
          </w:p>
        </w:tc>
        <w:tc>
          <w:tcPr>
            <w:tcW w:type="dxa" w:w="55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Verified doc-to-bank mappings incl. complex cases</w:t>
            </w:r>
          </w:p>
        </w:tc>
      </w:tr>
    </w:tbl>
    <w:p>
      <w:pPr>
        <w:spacing w:after="200"/>
      </w:pPr>
    </w:p>
    <w:p>
      <w:pPr>
        <w:pStyle w:val="Heading1"/>
      </w:pPr>
      <w:r>
        <w:t xml:space="preserve">3. Invoice Analysis</w:t>
      </w:r>
    </w:p>
    <w:p>
      <w:pPr>
        <w:pStyle w:val="Heading2"/>
      </w:pPr>
      <w:r>
        <w:t xml:space="preserve">3.1 Status Distribution</w:t>
      </w:r>
    </w:p>
    <w:p>
      <w:pPr>
        <w:spacing w:after="120"/>
      </w:pPr>
      <w:r>
        <w:t xml:space="preserve">Of the 200 invoices in the dataset, the majority are in non-final states. VOID documents (30.5%) should be excluded from receivables reporting. Together, OPEN and PARTIALLY_PAID invoices account for 50.5% of the portfolio and require active follow-up.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Status</w:t>
            </w:r>
          </w:p>
        </w:tc>
        <w:tc>
          <w:tcPr>
            <w:tcW w:type="dxa" w:w="20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Count</w:t>
            </w:r>
          </w:p>
        </w:tc>
        <w:tc>
          <w:tcPr>
            <w:tcW w:type="dxa" w:w="37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Share</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PAID</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38</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19.0%</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PARTIALLY_PAID</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53</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26.5%</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OPEN</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48</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24.0%</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VOID</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61</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30.5%</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TOTAL</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200</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100.0%</w:t>
            </w:r>
          </w:p>
        </w:tc>
      </w:tr>
    </w:tbl>
    <w:p>
      <w:pPr>
        <w:spacing w:after="160"/>
      </w:pPr>
    </w:p>
    <w:p>
      <w:pPr>
        <w:pStyle w:val="Heading2"/>
      </w:pPr>
      <w:r>
        <w:t xml:space="preserve">3.2 Value by Currency</w:t>
      </w:r>
    </w:p>
    <w:p>
      <w:pPr>
        <w:spacing w:after="120"/>
      </w:pPr>
      <w:r>
        <w:t xml:space="preserve">Invoices are denominated in four currencies. GBP carries the highest nominal value followed closely by EUR. Currency-blended totals should be interpreted with caution as exchange rates are not normalised in the source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Currency</w:t>
            </w:r>
          </w:p>
        </w:tc>
        <w:tc>
          <w:tcPr>
            <w:tcW w:type="dxa" w:w="34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Total Invoice Value</w:t>
            </w:r>
          </w:p>
        </w:tc>
        <w:tc>
          <w:tcPr>
            <w:tcW w:type="dxa" w:w="34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Share of Mixed Total</w:t>
            </w:r>
          </w:p>
        </w:tc>
      </w:tr>
      <w:tr>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GBP</w:t>
            </w:r>
          </w:p>
        </w:tc>
        <w:tc>
          <w:tcPr>
            <w:tcW w:type="dxa" w:w="34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9,671.72</w:t>
            </w:r>
          </w:p>
        </w:tc>
        <w:tc>
          <w:tcPr>
            <w:tcW w:type="dxa" w:w="34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31.9%</w:t>
            </w:r>
          </w:p>
        </w:tc>
      </w:tr>
      <w:tr>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EUR</w:t>
            </w:r>
          </w:p>
        </w:tc>
        <w:tc>
          <w:tcPr>
            <w:tcW w:type="dxa" w:w="34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7,942.25</w:t>
            </w:r>
          </w:p>
        </w:tc>
        <w:tc>
          <w:tcPr>
            <w:tcW w:type="dxa" w:w="34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26.2%</w:t>
            </w:r>
          </w:p>
        </w:tc>
      </w:tr>
      <w:tr>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AED</w:t>
            </w:r>
          </w:p>
        </w:tc>
        <w:tc>
          <w:tcPr>
            <w:tcW w:type="dxa" w:w="34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7,387.21</w:t>
            </w:r>
          </w:p>
        </w:tc>
        <w:tc>
          <w:tcPr>
            <w:tcW w:type="dxa" w:w="34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24.4%</w:t>
            </w:r>
          </w:p>
        </w:tc>
      </w:tr>
      <w:tr>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USD</w:t>
            </w:r>
          </w:p>
        </w:tc>
        <w:tc>
          <w:tcPr>
            <w:tcW w:type="dxa" w:w="34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5,279.73</w:t>
            </w:r>
          </w:p>
        </w:tc>
        <w:tc>
          <w:tcPr>
            <w:tcW w:type="dxa" w:w="34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17.5%</w:t>
            </w:r>
          </w:p>
        </w:tc>
      </w:tr>
      <w:tr>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All</w:t>
            </w:r>
          </w:p>
        </w:tc>
        <w:tc>
          <w:tcPr>
            <w:tcW w:type="dxa" w:w="34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30,280.91</w:t>
            </w:r>
          </w:p>
        </w:tc>
        <w:tc>
          <w:tcPr>
            <w:tcW w:type="dxa" w:w="34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100.0%</w:t>
            </w:r>
          </w:p>
        </w:tc>
      </w:tr>
    </w:tbl>
    <w:p>
      <w:pPr>
        <w:spacing w:after="160"/>
      </w:pPr>
    </w:p>
    <w:p>
      <w:pPr>
        <w:pStyle w:val="Heading2"/>
      </w:pPr>
      <w:r>
        <w:t xml:space="preserve">3.3 Top 5 Vendors by Invoice Value</w:t>
      </w:r>
    </w:p>
    <w:p>
      <w:pPr>
        <w:spacing w:after="120"/>
      </w:pPr>
      <w:r>
        <w:t xml:space="preserve">Five vendors account for the largest invoice exposure. Velasquez-Ortega and Beck-Morton alone contribute nearly a third of total invoice value, making them high-priority for payment-term and credit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Vendor</w:t>
            </w:r>
          </w:p>
        </w:tc>
        <w:tc>
          <w:tcPr>
            <w:tcW w:type="dxa" w:w="20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Invoice Count</w:t>
            </w:r>
          </w:p>
        </w:tc>
        <w:tc>
          <w:tcPr>
            <w:tcW w:type="dxa" w:w="35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Total Value (mixed)</w:t>
            </w:r>
          </w:p>
        </w:tc>
      </w:tr>
      <w:tr>
        <w:tc>
          <w:tcPr>
            <w:tcW w:type="dxa" w:w="38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Velasquez-Ortega</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29</w:t>
            </w:r>
          </w:p>
        </w:tc>
        <w:tc>
          <w:tcPr>
            <w:tcW w:type="dxa" w:w="35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4,679.35</w:t>
            </w:r>
          </w:p>
        </w:tc>
      </w:tr>
      <w:tr>
        <w:tc>
          <w:tcPr>
            <w:tcW w:type="dxa" w:w="38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Beck-Morton</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24</w:t>
            </w:r>
          </w:p>
        </w:tc>
        <w:tc>
          <w:tcPr>
            <w:tcW w:type="dxa" w:w="35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4,624.52</w:t>
            </w:r>
          </w:p>
        </w:tc>
      </w:tr>
      <w:tr>
        <w:tc>
          <w:tcPr>
            <w:tcW w:type="dxa" w:w="38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Taylor-Odonnell</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22</w:t>
            </w:r>
          </w:p>
        </w:tc>
        <w:tc>
          <w:tcPr>
            <w:tcW w:type="dxa" w:w="35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4,028.37</w:t>
            </w:r>
          </w:p>
        </w:tc>
      </w:tr>
      <w:tr>
        <w:tc>
          <w:tcPr>
            <w:tcW w:type="dxa" w:w="38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Newman Inc</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19</w:t>
            </w:r>
          </w:p>
        </w:tc>
        <w:tc>
          <w:tcPr>
            <w:tcW w:type="dxa" w:w="35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3,207.69</w:t>
            </w:r>
          </w:p>
        </w:tc>
      </w:tr>
      <w:tr>
        <w:tc>
          <w:tcPr>
            <w:tcW w:type="dxa" w:w="38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Hooper, Bauer and Brown</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21</w:t>
            </w:r>
          </w:p>
        </w:tc>
        <w:tc>
          <w:tcPr>
            <w:tcW w:type="dxa" w:w="35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3,129.24</w:t>
            </w:r>
          </w:p>
        </w:tc>
      </w:tr>
    </w:tbl>
    <w:p>
      <w:pPr>
        <w:spacing w:after="160"/>
      </w:pPr>
    </w:p>
    <w:p>
      <w:pPr>
        <w:pStyle w:val="Heading2"/>
      </w:pPr>
      <w:r>
        <w:t xml:space="preserve">3.4 Payment Terms &amp; Tax Rates</w:t>
      </w:r>
    </w:p>
    <w:p>
      <w:pPr>
        <w:spacing w:after="120"/>
      </w:pPr>
      <w:r>
        <w:t xml:space="preserve">Payment terms are broadly distributed across five categories, with DUE_ON_RECEIPT and NET45 each accounting for roughly 21% of invoices. The 5% tax band is the most prevalent (43%), with 33 invoices carrying a zero-rate, warranting a VAT/exemption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Payment Terms</w:t>
            </w:r>
          </w:p>
        </w:tc>
        <w:tc>
          <w:tcPr>
            <w:tcW w:type="dxa" w:w="20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Count</w:t>
            </w:r>
          </w:p>
        </w:tc>
        <w:tc>
          <w:tcPr>
            <w:tcW w:type="dxa" w:w="37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Share</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DUE_ON_RECEIPT</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43</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21.5%</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NET45</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42</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21.0%</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NET30</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41</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20.5%</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NET14</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41</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20.5%</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NET7</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33</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Tax Rate</w:t>
            </w:r>
          </w:p>
        </w:tc>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Invoice Count</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0%</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33</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5%</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86</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10%</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36</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15%</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45</w:t>
            </w:r>
          </w:p>
        </w:tc>
      </w:tr>
    </w:tbl>
    <w:p>
      <w:pPr>
        <w:spacing w:after="200"/>
      </w:pPr>
    </w:p>
    <w:p>
      <w:pPr>
        <w:pStyle w:val="Heading1"/>
      </w:pPr>
      <w:r>
        <w:t xml:space="preserve">4. Receipt Analysis</w:t>
      </w:r>
    </w:p>
    <w:p>
      <w:pPr>
        <w:spacing w:after="120"/>
      </w:pPr>
      <w:r>
        <w:t xml:space="preserve">150 receipts were processed across the same four currencies. The status distribution mirrors the invoice portfolio: VOID is the largest single bucket (30%), while PAID (24%) and PARTIALLY_PAID (24%) together make up nearly half of all receipts.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Status</w:t>
            </w:r>
          </w:p>
        </w:tc>
        <w:tc>
          <w:tcPr>
            <w:tcW w:type="dxa" w:w="20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Count</w:t>
            </w:r>
          </w:p>
        </w:tc>
        <w:tc>
          <w:tcPr>
            <w:tcW w:type="dxa" w:w="37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Share</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PAID</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36</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24.0%</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PARTIALLY_PAID</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36</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24.0%</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OPEN</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33</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22.0%</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VOID</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45</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30.0%</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TOTAL</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150</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100.0%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Currency</w:t>
            </w:r>
          </w:p>
        </w:tc>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Total Receipt Value</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USD</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7,376.25</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GBP</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5,599.53</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EUR</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5,389.21</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AED</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2,725.96</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All</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21,090.95</w:t>
            </w:r>
          </w:p>
        </w:tc>
      </w:tr>
    </w:tbl>
    <w:p>
      <w:pPr>
        <w:spacing w:after="200"/>
      </w:pPr>
    </w:p>
    <w:p>
      <w:pPr>
        <w:pStyle w:val="Heading1"/>
      </w:pPr>
      <w:r>
        <w:t xml:space="preserve">5. Bank Statement Analysis</w:t>
      </w:r>
    </w:p>
    <w:p>
      <w:pPr>
        <w:pStyle w:val="Heading2"/>
      </w:pPr>
      <w:r>
        <w:t xml:space="preserve">5.1 Payment Channel Breakdown</w:t>
      </w:r>
    </w:p>
    <w:p>
      <w:pPr>
        <w:spacing w:after="120"/>
      </w:pPr>
      <w:r>
        <w:t xml:space="preserve">352 bank transactions were recorded. Payments are evenly spread across six channels with no single channel dominating, suggesting a diverse counterparty and settlement infrastructure. CASH and INTERNAL_TRANSFER transactions warrant enhanced controls given their reduced auditability.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Channel</w:t>
            </w:r>
          </w:p>
        </w:tc>
        <w:tc>
          <w:tcPr>
            <w:tcW w:type="dxa" w:w="20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Count</w:t>
            </w:r>
          </w:p>
        </w:tc>
        <w:tc>
          <w:tcPr>
            <w:tcW w:type="dxa" w:w="37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Share</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CASH</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65</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18.5%</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INTERNAL_TRANSFER</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65</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18.5%</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CHECK</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61</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17.3%</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ACH</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56</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15.9%</w:t>
            </w:r>
          </w:p>
        </w:tc>
      </w:tr>
      <w:tr>
        <w:tc>
          <w:tcPr>
            <w:tcW w:type="dxa" w:w="36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WIRE</w:t>
            </w:r>
          </w:p>
        </w:tc>
        <w:tc>
          <w:tcPr>
            <w:tcW w:type="dxa" w:w="2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55</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15.6%</w:t>
            </w:r>
          </w:p>
        </w:tc>
      </w:tr>
      <w:tr>
        <w:tc>
          <w:tcPr>
            <w:tcW w:type="dxa" w:w="36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CARD</w:t>
            </w:r>
          </w:p>
        </w:tc>
        <w:tc>
          <w:tcPr>
            <w:tcW w:type="dxa" w:w="2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50</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14.2%</w:t>
            </w:r>
          </w:p>
        </w:tc>
      </w:tr>
    </w:tbl>
    <w:p>
      <w:pPr>
        <w:spacing w:after="160"/>
      </w:pPr>
    </w:p>
    <w:p>
      <w:pPr>
        <w:pStyle w:val="Heading2"/>
      </w:pPr>
      <w:r>
        <w:t xml:space="preserve">5.2 Value by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Currency</w:t>
            </w:r>
          </w:p>
        </w:tc>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Total Bank Value</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GBP</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13,366.00</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EUR</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13,268.75</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USD</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11,333.98</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AED</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9,560.41</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All</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47,529.14</w:t>
            </w:r>
          </w:p>
        </w:tc>
      </w:tr>
    </w:tbl>
    <w:p>
      <w:pPr>
        <w:spacing w:after="160"/>
      </w:pPr>
    </w:p>
    <w:p>
      <w:pPr>
        <w:pStyle w:val="Heading2"/>
      </w:pPr>
      <w:r>
        <w:t xml:space="preserve">5.3 Monthly Activity</w:t>
      </w:r>
    </w:p>
    <w:p>
      <w:pPr>
        <w:spacing w:after="120"/>
      </w:pPr>
      <w:r>
        <w:t xml:space="preserve">Activity peaks in February 2026, accounting for 43% of total bank outflows over the period. December 2025 activity is minimal (562.50), consistent with a period-end timing cutoff.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Month</w:t>
            </w:r>
          </w:p>
        </w:tc>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Total Activity (mixed ccy)</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Dec 2025</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562.50</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Jan 2026</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10,543.80</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Feb 2026</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20,566.51</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Mar 2026</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13,139.26</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Apr 2026</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2,717.07</w:t>
            </w:r>
          </w:p>
        </w:tc>
      </w:tr>
    </w:tbl>
    <w:p>
      <w:pPr>
        <w:spacing w:after="200"/>
      </w:pPr>
    </w:p>
    <w:p>
      <w:pPr>
        <w:pStyle w:val="Heading1"/>
      </w:pPr>
      <w:r>
        <w:t xml:space="preserve">6. Reconciliation Findings</w:t>
      </w:r>
    </w:p>
    <w:p>
      <w:pPr>
        <w:spacing w:after="120"/>
      </w:pPr>
      <w:r>
        <w:t xml:space="preserve">Automated matching against 378 ground-truth document-to-bank links identified 131 exceptions across three categories. Finance teams should prioritise resolution of unmatched documents before period close.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Issue Type</w:t>
            </w:r>
          </w:p>
        </w:tc>
        <w:tc>
          <w:tcPr>
            <w:tcW w:type="dxa" w:w="10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Count</w:t>
            </w:r>
          </w:p>
        </w:tc>
        <w:tc>
          <w:tcPr>
            <w:tcW w:type="dxa" w:w="12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Share</w:t>
            </w:r>
          </w:p>
        </w:tc>
        <w:tc>
          <w:tcPr>
            <w:tcW w:type="dxa" w:w="47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Description</w:t>
            </w:r>
          </w:p>
        </w:tc>
      </w:tr>
      <w:tr>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POTENTIAL_MISMATCH</w:t>
            </w:r>
          </w:p>
        </w:tc>
        <w:tc>
          <w:tcPr>
            <w:tcW w:type="dxa" w:w="1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85</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64.9%</w:t>
            </w:r>
          </w:p>
        </w:tc>
        <w:tc>
          <w:tcPr>
            <w:tcW w:type="dxa" w:w="4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Amount or mapping discrepancy requiring manual review</w:t>
            </w:r>
          </w:p>
        </w:tc>
      </w:tr>
      <w:tr>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DOC_WITHOUT_BANK</w:t>
            </w:r>
          </w:p>
        </w:tc>
        <w:tc>
          <w:tcPr>
            <w:tcW w:type="dxa" w:w="1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29</w:t>
            </w:r>
          </w:p>
        </w:tc>
        <w:tc>
          <w:tcPr>
            <w:tcW w:type="dxa" w:w="1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22.1%</w:t>
            </w:r>
          </w:p>
        </w:tc>
        <w:tc>
          <w:tcPr>
            <w:tcW w:type="dxa" w:w="4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Invoice/receipt with no matching bank transaction</w:t>
            </w:r>
          </w:p>
        </w:tc>
      </w:tr>
      <w:tr>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BANK_WITHOUT_DOC</w:t>
            </w:r>
          </w:p>
        </w:tc>
        <w:tc>
          <w:tcPr>
            <w:tcW w:type="dxa" w:w="1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17</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13.0%</w:t>
            </w:r>
          </w:p>
        </w:tc>
        <w:tc>
          <w:tcPr>
            <w:tcW w:type="dxa" w:w="4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Bank transaction with no supporting document</w:t>
            </w:r>
          </w:p>
        </w:tc>
      </w:tr>
      <w:tr>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TOTAL</w:t>
            </w:r>
          </w:p>
        </w:tc>
        <w:tc>
          <w:tcPr>
            <w:tcW w:type="dxa" w:w="1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131</w:t>
            </w:r>
          </w:p>
        </w:tc>
        <w:tc>
          <w:tcPr>
            <w:tcW w:type="dxa" w:w="1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100.0%</w:t>
            </w:r>
          </w:p>
        </w:tc>
        <w:tc>
          <w:tcPr>
            <w:tcW w:type="dxa" w:w="4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
            </w:r>
          </w:p>
        </w:tc>
      </w:tr>
    </w:tbl>
    <w:p>
      <w:pPr>
        <w:spacing w:after="160"/>
      </w:pPr>
    </w:p>
    <w:p>
      <w:pPr>
        <w:pStyle w:val="Heading2"/>
      </w:pPr>
      <w:r>
        <w:t xml:space="preserve">6.1 Mismatch Subtypes</w:t>
      </w:r>
    </w:p>
    <w:p>
      <w:pPr>
        <w:spacing w:after="120"/>
      </w:pPr>
      <w:r>
        <w:t xml:space="preserve">Within the 85 potential mismatches, the most common subtype is one-to-many (42 cases), where a single invoice is settled by multiple bank payments — a hallmark of instalment arrangements. Many-to-one consolidations (21 cases) indicate batch payment runs.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4760"/>
      </w:tblGrid>
      <w:tr>
        <w:trPr>
          <w:tblHeader/>
        </w:trPr>
        <w:tc>
          <w:tcPr>
            <w:tcW w:type="dxa" w:w="24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Subtype</w:t>
            </w:r>
          </w:p>
        </w:tc>
        <w:tc>
          <w:tcPr>
            <w:tcW w:type="dxa" w:w="10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Count</w:t>
            </w:r>
          </w:p>
        </w:tc>
        <w:tc>
          <w:tcPr>
            <w:tcW w:type="dxa" w:w="12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Share</w:t>
            </w:r>
          </w:p>
        </w:tc>
        <w:tc>
          <w:tcPr>
            <w:tcW w:type="dxa" w:w="47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Likely Cause</w:t>
            </w:r>
          </w:p>
        </w:tc>
      </w:tr>
      <w:tr>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one_to_multi</w:t>
            </w:r>
          </w:p>
        </w:tc>
        <w:tc>
          <w:tcPr>
            <w:tcW w:type="dxa" w:w="1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42</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49.4%</w:t>
            </w:r>
          </w:p>
        </w:tc>
        <w:tc>
          <w:tcPr>
            <w:tcW w:type="dxa" w:w="4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Instalment or partial payments against one document</w:t>
            </w:r>
          </w:p>
        </w:tc>
      </w:tr>
      <w:tr>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partial_or_mismatch</w:t>
            </w:r>
          </w:p>
        </w:tc>
        <w:tc>
          <w:tcPr>
            <w:tcW w:type="dxa" w:w="10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22</w:t>
            </w:r>
          </w:p>
        </w:tc>
        <w:tc>
          <w:tcPr>
            <w:tcW w:type="dxa" w:w="1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25.9%</w:t>
            </w:r>
          </w:p>
        </w:tc>
        <w:tc>
          <w:tcPr>
            <w:tcW w:type="dxa" w:w="4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Amount discrepancy — FX rounding or credit notes</w:t>
            </w:r>
          </w:p>
        </w:tc>
      </w:tr>
      <w:tr>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multi_to_one</w:t>
            </w:r>
          </w:p>
        </w:tc>
        <w:tc>
          <w:tcPr>
            <w:tcW w:type="dxa" w:w="10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21</w:t>
            </w:r>
          </w:p>
        </w:tc>
        <w:tc>
          <w:tcPr>
            <w:tcW w:type="dxa" w:w="1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24.7%</w:t>
            </w:r>
          </w:p>
        </w:tc>
        <w:tc>
          <w:tcPr>
            <w:tcW w:type="dxa" w:w="4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Batch payment covering multiple invoices/receipts</w:t>
            </w:r>
          </w:p>
        </w:tc>
      </w:tr>
    </w:tbl>
    <w:p>
      <w:pPr>
        <w:spacing w:after="160"/>
      </w:pPr>
    </w:p>
    <w:p>
      <w:pPr>
        <w:pStyle w:val="Heading2"/>
      </w:pPr>
      <w:r>
        <w:t xml:space="preserve">6.2 Unmatched Document Exposure</w:t>
      </w:r>
    </w:p>
    <w:p>
      <w:pPr>
        <w:spacing w:after="120"/>
      </w:pPr>
      <w:r>
        <w:t xml:space="preserve">29 documents (invoices and receipts) have no corresponding bank entry. Total unmatched value by currency is shown below. These may represent genuinely unpaid obligations or data-entry gaps that require vendor confirmation.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Currency</w:t>
            </w:r>
          </w:p>
        </w:tc>
        <w:tc>
          <w:tcPr>
            <w:tcW w:type="dxa" w:w="468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Unmatched Value</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GBP</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1,560.66</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USD</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1,113.06</w:t>
            </w:r>
          </w:p>
        </w:tc>
      </w:tr>
      <w:tr>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AED</w:t>
            </w:r>
          </w:p>
        </w:tc>
        <w:tc>
          <w:tcPr>
            <w:tcW w:type="dxa" w:w="468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987.25</w:t>
            </w:r>
          </w:p>
        </w:tc>
      </w:tr>
      <w:tr>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EUR</w:t>
            </w:r>
          </w:p>
        </w:tc>
        <w:tc>
          <w:tcPr>
            <w:tcW w:type="dxa" w:w="468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354.26</w:t>
            </w:r>
          </w:p>
        </w:tc>
      </w:tr>
    </w:tbl>
    <w:p>
      <w:pPr>
        <w:spacing w:after="200"/>
      </w:pPr>
    </w:p>
    <w:p>
      <w:pPr>
        <w:pStyle w:val="Heading1"/>
      </w:pPr>
      <w:r>
        <w:t xml:space="preserve">7. Recommendations</w:t>
      </w:r>
    </w:p>
    <w:p>
      <w:pPr>
        <w:spacing w:after="120"/>
      </w:pPr>
      <w:r>
        <w:t xml:space="preserve">Based on the analysis, the following actions are recommended:</w:t>
      </w:r>
    </w:p>
    <w:p>
      <w:pPr>
        <w:spacing w:after="80"/>
      </w:pPr>
    </w:p>
    <w:p>
      <w:pPr>
        <w:pStyle w:val="ListParagraph"/>
        <w:numPr>
          <w:ilvl w:val="0"/>
          <w:numId w:val="3"/>
        </w:numPr>
        <w:spacing w:after="80"/>
      </w:pPr>
      <w:r>
        <w:rPr>
          <w:b/>
          <w:bCs/>
          <w:sz w:val="20"/>
          <w:szCs w:val="20"/>
        </w:rPr>
        <w:t xml:space="preserve">Collections Priority: </w:t>
      </w:r>
      <w:r>
        <w:rPr>
          <w:sz w:val="20"/>
          <w:szCs w:val="20"/>
        </w:rPr>
        <w:t xml:space="preserve">Immediately chase the 43 overdue invoices. Focus on the top-5 vendors by value (Velasquez-Ortega, Beck-Morton, Taylor-Odonnell, Newman Inc, Hooper Bauer &amp; Brown).</w:t>
      </w:r>
    </w:p>
    <w:p>
      <w:pPr>
        <w:pStyle w:val="ListParagraph"/>
        <w:numPr>
          <w:ilvl w:val="0"/>
          <w:numId w:val="3"/>
        </w:numPr>
        <w:spacing w:after="80"/>
      </w:pPr>
      <w:r>
        <w:rPr>
          <w:b/>
          <w:bCs/>
          <w:sz w:val="20"/>
          <w:szCs w:val="20"/>
        </w:rPr>
        <w:t xml:space="preserve">Reconciliation Triage: </w:t>
      </w:r>
      <w:r>
        <w:rPr>
          <w:sz w:val="20"/>
          <w:szCs w:val="20"/>
        </w:rPr>
        <w:t xml:space="preserve">Assign the 29 unmatched documents (GBP 1,561 + USD 1,113 + AED 987 + EUR 354) to AP/AR staff for vendor confirmation within 5 business days.</w:t>
      </w:r>
    </w:p>
    <w:p>
      <w:pPr>
        <w:pStyle w:val="ListParagraph"/>
        <w:numPr>
          <w:ilvl w:val="0"/>
          <w:numId w:val="3"/>
        </w:numPr>
        <w:spacing w:after="80"/>
      </w:pPr>
      <w:r>
        <w:rPr>
          <w:b/>
          <w:bCs/>
          <w:sz w:val="20"/>
          <w:szCs w:val="20"/>
        </w:rPr>
        <w:t xml:space="preserve">Batch Payment Review: </w:t>
      </w:r>
      <w:r>
        <w:rPr>
          <w:sz w:val="20"/>
          <w:szCs w:val="20"/>
        </w:rPr>
        <w:t xml:space="preserve">Investigate the 21 many-to-one bank transactions. Ensure each bundled payment has appropriate remittance advice on file and matches the sum of linked document amounts.</w:t>
      </w:r>
    </w:p>
    <w:p>
      <w:pPr>
        <w:pStyle w:val="ListParagraph"/>
        <w:numPr>
          <w:ilvl w:val="0"/>
          <w:numId w:val="3"/>
        </w:numPr>
        <w:spacing w:after="80"/>
      </w:pPr>
      <w:r>
        <w:rPr>
          <w:b/>
          <w:bCs/>
          <w:sz w:val="20"/>
          <w:szCs w:val="20"/>
        </w:rPr>
        <w:t xml:space="preserve">VOID Invoice Audit: </w:t>
      </w:r>
      <w:r>
        <w:rPr>
          <w:sz w:val="20"/>
          <w:szCs w:val="20"/>
        </w:rPr>
        <w:t xml:space="preserve">61 invoices (30.5%) and 45 receipts (30%) are flagged VOID. Confirm each void was properly authorised and no value flows are concealed within voided records.</w:t>
      </w:r>
    </w:p>
    <w:p>
      <w:pPr>
        <w:pStyle w:val="ListParagraph"/>
        <w:numPr>
          <w:ilvl w:val="0"/>
          <w:numId w:val="3"/>
        </w:numPr>
        <w:spacing w:after="80"/>
      </w:pPr>
      <w:r>
        <w:rPr>
          <w:b/>
          <w:bCs/>
          <w:sz w:val="20"/>
          <w:szCs w:val="20"/>
        </w:rPr>
        <w:t xml:space="preserve">Zero-Rate VAT Review: </w:t>
      </w:r>
      <w:r>
        <w:rPr>
          <w:sz w:val="20"/>
          <w:szCs w:val="20"/>
        </w:rPr>
        <w:t xml:space="preserve">33 invoices carry a 0% tax rate. Finance should confirm exemption codes are correctly applied and file supporting documentation for audit readiness.</w:t>
      </w:r>
    </w:p>
    <w:p>
      <w:pPr>
        <w:pStyle w:val="ListParagraph"/>
        <w:numPr>
          <w:ilvl w:val="0"/>
          <w:numId w:val="3"/>
        </w:numPr>
        <w:spacing w:after="80"/>
      </w:pPr>
      <w:r>
        <w:rPr>
          <w:b/>
          <w:bCs/>
          <w:sz w:val="20"/>
          <w:szCs w:val="20"/>
        </w:rPr>
        <w:t xml:space="preserve">Cash &amp; Internal Transfer Controls: </w:t>
      </w:r>
      <w:r>
        <w:rPr>
          <w:sz w:val="20"/>
          <w:szCs w:val="20"/>
        </w:rPr>
        <w:t xml:space="preserve">Cash (18.5%) and Internal Transfer (18.5%) represent the highest-volume channels. Strengthen dual-authorisation and documentation requirements for these channels.</w:t>
      </w:r>
    </w:p>
    <w:p>
      <w:pPr>
        <w:spacing w:after="200"/>
      </w:pPr>
    </w:p>
    <w:p>
      <w:pPr>
        <w:pBdr>
          <w:bottom w:val="single" w:color="CCCCCC" w:sz="2"/>
        </w:pBdr>
        <w:spacing w:before="80" w:after="80"/>
      </w:pPr>
    </w:p>
    <w:p>
      <w:r>
        <w:br w:type="page"/>
      </w:r>
    </w:p>
    <w:p>
      <w:pPr>
        <w:pStyle w:val="Heading1"/>
      </w:pPr>
      <w:r>
        <w:t xml:space="preserve">Appendix – Data Source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File</w:t>
            </w:r>
          </w:p>
        </w:tc>
        <w:tc>
          <w:tcPr>
            <w:tcW w:type="dxa" w:w="240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Path</w:t>
            </w:r>
          </w:p>
        </w:tc>
        <w:tc>
          <w:tcPr>
            <w:tcW w:type="dxa" w:w="3760"/>
            <w:tcBorders>
              <w:top w:val="single" w:color="AEC6D8" w:sz="1"/>
              <w:left w:val="single" w:color="AEC6D8" w:sz="1"/>
              <w:bottom w:val="single" w:color="AEC6D8" w:sz="1"/>
              <w:right w:val="single" w:color="AEC6D8" w:sz="1"/>
            </w:tcBorders>
            <w:shd w:fill="D6E4F0" w:val="clear"/>
            <w:tcMar>
              <w:top w:type="dxa" w:w="80"/>
              <w:left w:type="dxa" w:w="140"/>
              <w:bottom w:type="dxa" w:w="80"/>
              <w:right w:type="dxa" w:w="140"/>
            </w:tcMar>
            <w:vAlign w:val="center"/>
          </w:tcPr>
          <w:p>
            <w:r>
              <w:rPr>
                <w:b/>
                <w:bCs/>
                <w:color w:val="1F4E79"/>
                <w:sz w:val="18"/>
                <w:szCs w:val="18"/>
              </w:rPr>
              <w:t xml:space="preserve">Records</w:t>
            </w:r>
          </w:p>
        </w:tc>
      </w:tr>
      <w:tr>
        <w:tc>
          <w:tcPr>
            <w:tcW w:type="dxa" w:w="3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invoices_header.csv</w:t>
            </w:r>
          </w:p>
        </w:tc>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invoices/</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200</w:t>
            </w:r>
          </w:p>
        </w:tc>
      </w:tr>
      <w:tr>
        <w:tc>
          <w:tcPr>
            <w:tcW w:type="dxa" w:w="3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invoices_line_items.csv</w:t>
            </w:r>
          </w:p>
        </w:tc>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invoices/</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922</w:t>
            </w:r>
          </w:p>
        </w:tc>
      </w:tr>
      <w:tr>
        <w:tc>
          <w:tcPr>
            <w:tcW w:type="dxa" w:w="3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receipts_header.csv</w:t>
            </w:r>
          </w:p>
        </w:tc>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invoices/</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150</w:t>
            </w:r>
          </w:p>
        </w:tc>
      </w:tr>
      <w:tr>
        <w:tc>
          <w:tcPr>
            <w:tcW w:type="dxa" w:w="3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receipts_line_items.csv</w:t>
            </w:r>
          </w:p>
        </w:tc>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invoices/</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674</w:t>
            </w:r>
          </w:p>
        </w:tc>
      </w:tr>
      <w:tr>
        <w:tc>
          <w:tcPr>
            <w:tcW w:type="dxa" w:w="3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bank_statement.csv</w:t>
            </w:r>
          </w:p>
        </w:tc>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bank/</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352</w:t>
            </w:r>
          </w:p>
        </w:tc>
      </w:tr>
      <w:tr>
        <w:tc>
          <w:tcPr>
            <w:tcW w:type="dxa" w:w="3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missing_items_report.csv</w:t>
            </w:r>
          </w:p>
        </w:tc>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reconciliation/</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131</w:t>
            </w:r>
          </w:p>
        </w:tc>
      </w:tr>
      <w:tr>
        <w:tc>
          <w:tcPr>
            <w:tcW w:type="dxa" w:w="3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ground_truth_links.csv</w:t>
            </w:r>
          </w:p>
        </w:tc>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reconciliation/</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378</w:t>
            </w:r>
          </w:p>
        </w:tc>
      </w:tr>
      <w:tr>
        <w:tc>
          <w:tcPr>
            <w:tcW w:type="dxa" w:w="32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many_to_one_mapping_cases.csv</w:t>
            </w:r>
          </w:p>
        </w:tc>
        <w:tc>
          <w:tcPr>
            <w:tcW w:type="dxa" w:w="240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reconciliation/</w:t>
            </w:r>
          </w:p>
        </w:tc>
        <w:tc>
          <w:tcPr>
            <w:tcW w:type="dxa" w:w="3760"/>
            <w:tcBorders>
              <w:top w:val="single" w:color="AEC6D8" w:sz="1"/>
              <w:left w:val="single" w:color="AEC6D8" w:sz="1"/>
              <w:bottom w:val="single" w:color="AEC6D8" w:sz="1"/>
              <w:right w:val="single" w:color="AEC6D8" w:sz="1"/>
            </w:tcBorders>
            <w:shd w:fill="F2F7FB" w:val="clear"/>
            <w:tcMar>
              <w:top w:type="dxa" w:w="60"/>
              <w:left w:type="dxa" w:w="140"/>
              <w:bottom w:type="dxa" w:w="60"/>
              <w:right w:type="dxa" w:w="140"/>
            </w:tcMar>
            <w:vAlign w:val="center"/>
          </w:tcPr>
          <w:p>
            <w:r>
              <w:rPr>
                <w:sz w:val="18"/>
                <w:szCs w:val="18"/>
              </w:rPr>
              <w:t xml:space="preserve">378 subset</w:t>
            </w:r>
          </w:p>
        </w:tc>
      </w:tr>
      <w:tr>
        <w:tc>
          <w:tcPr>
            <w:tcW w:type="dxa" w:w="32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ocr_noise/ (INV+RCT JSON)</w:t>
            </w:r>
          </w:p>
        </w:tc>
        <w:tc>
          <w:tcPr>
            <w:tcW w:type="dxa" w:w="240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invoices/ocr_noise/</w:t>
            </w:r>
          </w:p>
        </w:tc>
        <w:tc>
          <w:tcPr>
            <w:tcW w:type="dxa" w:w="3760"/>
            <w:tcBorders>
              <w:top w:val="single" w:color="AEC6D8" w:sz="1"/>
              <w:left w:val="single" w:color="AEC6D8" w:sz="1"/>
              <w:bottom w:val="single" w:color="AEC6D8" w:sz="1"/>
              <w:right w:val="single" w:color="AEC6D8" w:sz="1"/>
            </w:tcBorders>
            <w:shd w:fill="FFFFFF" w:val="clear"/>
            <w:tcMar>
              <w:top w:type="dxa" w:w="60"/>
              <w:left w:type="dxa" w:w="140"/>
              <w:bottom w:type="dxa" w:w="60"/>
              <w:right w:type="dxa" w:w="140"/>
            </w:tcMar>
            <w:vAlign w:val="center"/>
          </w:tcPr>
          <w:p>
            <w:r>
              <w:rPr>
                <w:sz w:val="18"/>
                <w:szCs w:val="18"/>
              </w:rPr>
              <w:t xml:space="preserve">350 files</w:t>
            </w:r>
          </w:p>
        </w:tc>
      </w:tr>
    </w:tbl>
    <w:p>
      <w:pPr>
        <w:spacing w:after="120"/>
      </w:pPr>
    </w:p>
    <w:p>
      <w:pPr>
        <w:spacing w:after="120"/>
      </w:pPr>
      <w:r>
        <w:rPr>
          <w:i/>
          <w:iCs/>
          <w:color w:val="666666"/>
        </w:rPr>
        <w:t xml:space="preserve">Note: All monetary totals in this report are nominal figures denominated in their source currency. Cross-currency comparisons should not be used for absolute P&amp;L purposes without applying appropriate exchange rates.</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6D8" w:sz="2"/>
      </w:pBd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6D8" w:sz="2"/>
      </w:pBdr>
      <w:jc w:val="right"/>
    </w:pPr>
    <w:r>
      <w:rPr>
        <w:color w:val="888888"/>
        <w:sz w:val="16"/>
        <w:szCs w:val="16"/>
      </w:rPr>
      <w:t xml:space="preserve">Financial Dataset Report  |  19 Feb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2"/>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2026-02-19T06:26:56.006Z</dcterms:created>
  <dcterms:modified xsi:type="dcterms:W3CDTF">2026-02-19T06:26:56.006Z</dcterms:modified>
</cp:coreProperties>
</file>

<file path=docProps/custom.xml><?xml version="1.0" encoding="utf-8"?>
<Properties xmlns="http://schemas.openxmlformats.org/officeDocument/2006/custom-properties" xmlns:vt="http://schemas.openxmlformats.org/officeDocument/2006/docPropsVTypes"/>
</file>