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line="360" w:lineRule="auto"/>
      </w:pPr>
      <w:r>
        <w:rPr>
          <w:rFonts w:ascii="Calibri" w:hAnsi="Calibri"/>
          <w:b/>
          <w:color w:val="0A2540"/>
          <w:sz w:val="40"/>
        </w:rPr>
        <w:t>Appendix A: User Manual</w:t>
      </w:r>
    </w:p>
    <w:p>
      <w:pPr>
        <w:spacing w:line="360" w:lineRule="auto"/>
      </w:pPr>
    </w:p>
    <w:p>
      <w:pPr>
        <w:jc w:val="both"/>
        <w:spacing w:line="360" w:lineRule="auto"/>
      </w:pPr>
      <w:r>
        <w:rPr>
          <w:rFonts w:ascii="Calibri" w:hAnsi="Calibri"/>
          <w:color w:val="1E1E2E"/>
          <w:sz w:val="24"/>
        </w:rPr>
        <w:t>This appendix serves as a comprehensive operational guide for all end-users of the MediCare AI telemedicine platform, covering two primary user roles: patients and doctors. It provides step-by-step instructions for account registration, profile management, appointment booking, video consultation participation, AI-powered symptom assessment, and digital prescription access. Screenshots and navigational cues are described textually to guide users through each interface without prior technical knowledge. The manual is structured to follow the natural workflow a user would experience from first accessing the platform through completing a full teleconsultation cycle, ensuring a smooth and self-sufficient onboarding experience for all stakeholders.</w:t>
      </w:r>
    </w:p>
    <w:p>
      <w:pPr>
        <w:spacing w:line="360" w:lineRule="auto"/>
      </w:pPr>
    </w:p>
    <w:p>
      <w:pPr>
        <w:jc w:val="left"/>
        <w:spacing w:line="360" w:lineRule="auto"/>
      </w:pPr>
      <w:r>
        <w:rPr>
          <w:rFonts w:ascii="Calibri" w:hAnsi="Calibri"/>
          <w:b/>
          <w:color w:val="0A2540"/>
          <w:sz w:val="32"/>
        </w:rPr>
        <w:t>A.1  Patient User Guide</w:t>
      </w:r>
    </w:p>
    <w:p>
      <w:pPr>
        <w:jc w:val="both"/>
        <w:spacing w:line="360" w:lineRule="auto"/>
      </w:pPr>
      <w:r>
        <w:rPr>
          <w:rFonts w:ascii="Calibri" w:hAnsi="Calibri"/>
          <w:color w:val="1E1E2E"/>
          <w:sz w:val="24"/>
        </w:rPr>
        <w:t>This section documents every step a patient must follow to make full use of the MediCare AI platform, from initial registration through completing a teleconsultation and accessing their digital prescription.</w:t>
      </w:r>
    </w:p>
    <w:p>
      <w:pPr>
        <w:spacing w:line="360" w:lineRule="auto"/>
      </w:pPr>
    </w:p>
    <w:p>
      <w:pPr>
        <w:jc w:val="left"/>
        <w:spacing w:line="360" w:lineRule="auto"/>
      </w:pPr>
      <w:r>
        <w:rPr>
          <w:rFonts w:ascii="Calibri" w:hAnsi="Calibri"/>
          <w:b/>
          <w:color w:val="0A2540"/>
          <w:sz w:val="28"/>
        </w:rPr>
        <w:t>A.1.1  Registration and Login</w:t>
      </w:r>
    </w:p>
    <w:p>
      <w:pPr>
        <w:jc w:val="both"/>
        <w:spacing w:line="360" w:lineRule="auto"/>
      </w:pPr>
      <w:r>
        <w:rPr>
          <w:rFonts w:ascii="Calibri" w:hAnsi="Calibri"/>
          <w:color w:val="1E1E2E"/>
          <w:sz w:val="24"/>
        </w:rPr>
        <w:t>To register as a patient, navigate to the MediCare AI landing page and click the "Sign Up" button under the Patient section. The registration form collects the following mandatory fields: first name, last name, email address, password, date of birth, gender, and contact number. All fields are validated in real time; the email must be unique and the password must be at least eight characters. Upon successful submission, the system creates a patient account and redirects the user to the Patient Dashboard. Subsequent logins require only the registered email and password. Session authentication is maintained via a secure HTTP-only cookie that expires after a configurable period, eliminating the need to log in on every visit within the same session.</w:t>
      </w:r>
    </w:p>
    <w:p>
      <w:pPr>
        <w:spacing w:line="360" w:lineRule="auto"/>
      </w:pPr>
    </w:p>
    <w:p>
      <w:pPr>
        <w:jc w:val="left"/>
        <w:spacing w:line="360" w:lineRule="auto"/>
      </w:pPr>
      <w:r>
        <w:rPr>
          <w:rFonts w:ascii="Calibri" w:hAnsi="Calibri"/>
          <w:b/>
          <w:color w:val="0A2540"/>
          <w:sz w:val="24"/>
        </w:rPr>
        <w:t>A.1.1.1  Recovering a Forgotten Password</w:t>
      </w:r>
    </w:p>
    <w:p>
      <w:pPr>
        <w:jc w:val="both"/>
        <w:spacing w:line="360" w:lineRule="auto"/>
      </w:pPr>
      <w:r>
        <w:rPr>
          <w:rFonts w:ascii="Calibri" w:hAnsi="Calibri"/>
          <w:color w:val="1E1E2E"/>
          <w:sz w:val="24"/>
        </w:rPr>
        <w:t>If a patient forgets their password, they should contact the platform administrator through the support channel listed on the landing page. Direct password-reset functionality via email link is planned for a future release. In the interim, the administrator can reset credentials through the Admin Panel.</w:t>
      </w:r>
    </w:p>
    <w:p>
      <w:pPr>
        <w:spacing w:line="360" w:lineRule="auto"/>
      </w:pPr>
    </w:p>
    <w:p>
      <w:pPr>
        <w:jc w:val="left"/>
        <w:spacing w:line="360" w:lineRule="auto"/>
      </w:pPr>
      <w:r>
        <w:rPr>
          <w:rFonts w:ascii="Calibri" w:hAnsi="Calibri"/>
          <w:b/>
          <w:color w:val="0A2540"/>
          <w:sz w:val="28"/>
        </w:rPr>
        <w:t>A.1.2  Browsing Doctors and Booking an Appointment</w:t>
      </w:r>
    </w:p>
    <w:p>
      <w:pPr>
        <w:jc w:val="both"/>
        <w:spacing w:line="360" w:lineRule="auto"/>
      </w:pPr>
      <w:r>
        <w:rPr>
          <w:rFonts w:ascii="Calibri" w:hAnsi="Calibri"/>
          <w:color w:val="1E1E2E"/>
          <w:sz w:val="24"/>
        </w:rPr>
        <w:t>After logging in, patients land on the Patient Dashboard, which displays active appointments, quick statistics, and navigation links. To book an appointment, click "Find a Doctor" in the navigation bar or on the dashboard shortcut. The Doctors Listing page displays all registered and active doctors, each showing their name, speciality, experience, and average rating. Use the search bar to filter by name or speciality. Click a doctor card to view their full profile, qualifications, and available time slots. Select an available date from the calendar, choose a time slot, review the consultation fee, and click "Confirm Booking." The system automatically creates a VideoSDK meeting room and associates it with the appointment. A confirmation is displayed on screen and the appointment appears immediately under "My Appointments."</w:t>
      </w:r>
    </w:p>
    <w:p>
      <w:pPr>
        <w:spacing w:line="360" w:lineRule="auto"/>
      </w:pPr>
    </w:p>
    <w:p>
      <w:pPr>
        <w:jc w:val="left"/>
        <w:spacing w:line="360" w:lineRule="auto"/>
      </w:pPr>
      <w:r>
        <w:rPr>
          <w:rFonts w:ascii="Calibri" w:hAnsi="Calibri"/>
          <w:b/>
          <w:color w:val="0A2540"/>
          <w:sz w:val="24"/>
        </w:rPr>
        <w:t>A.1.2.1  Cancelling or Rescheduling an Appointment</w:t>
      </w:r>
    </w:p>
    <w:p>
      <w:pPr>
        <w:jc w:val="both"/>
        <w:spacing w:line="360" w:lineRule="auto"/>
      </w:pPr>
      <w:r>
        <w:rPr>
          <w:rFonts w:ascii="Calibri" w:hAnsi="Calibri"/>
          <w:color w:val="1E1E2E"/>
          <w:sz w:val="24"/>
        </w:rPr>
        <w:t>A patient may cancel a booked appointment at any time before it begins by navigating to "My Appointments" and clicking the "Cancel" button on the relevant appointment card. The system will prompt for confirmation before proceeding. If a doctor initiates a reschedule, the patient receives a free-rebook token displayed as a "Rebook Free" button on the cancelled appointment card. Clicking it opens the slot selection panel for the same doctor; no payment is required when redeeming this token.</w:t>
      </w:r>
    </w:p>
    <w:p>
      <w:pPr>
        <w:spacing w:line="360" w:lineRule="auto"/>
      </w:pPr>
    </w:p>
    <w:p>
      <w:pPr>
        <w:jc w:val="left"/>
        <w:spacing w:line="360" w:lineRule="auto"/>
      </w:pPr>
      <w:r>
        <w:rPr>
          <w:rFonts w:ascii="Calibri" w:hAnsi="Calibri"/>
          <w:b/>
          <w:color w:val="0A2540"/>
          <w:sz w:val="28"/>
        </w:rPr>
        <w:t>A.1.3  Joining a Video Consultation</w:t>
      </w:r>
    </w:p>
    <w:p>
      <w:pPr>
        <w:jc w:val="both"/>
        <w:spacing w:line="360" w:lineRule="auto"/>
      </w:pPr>
      <w:r>
        <w:rPr>
          <w:rFonts w:ascii="Calibri" w:hAnsi="Calibri"/>
          <w:color w:val="1E1E2E"/>
          <w:sz w:val="24"/>
        </w:rPr>
        <w:t>On the day of the appointment, navigate to "My Appointments." The appointment card shows a live countdown. The "Join Call" button becomes active five minutes before the scheduled start time and deactivates when the slot's end time is reached. Clicking "Join Call" redirects the patient to the secure video room powered by VideoSDK. The room supports HD video, two-way audio, screen sharing, and in-call chat. No plugin or software installation is required; the call runs entirely in a modern web browser. After the consultation ends, the backend automatically updates the appointment status to "Completed" and initiates the AI-powered meeting-notes pipeline.</w:t>
      </w:r>
    </w:p>
    <w:p>
      <w:pPr>
        <w:spacing w:line="360" w:lineRule="auto"/>
      </w:pPr>
    </w:p>
    <w:p>
      <w:pPr>
        <w:jc w:val="left"/>
        <w:spacing w:line="360" w:lineRule="auto"/>
      </w:pPr>
      <w:r>
        <w:rPr>
          <w:rFonts w:ascii="Calibri" w:hAnsi="Calibri"/>
          <w:b/>
          <w:color w:val="0A2540"/>
          <w:sz w:val="24"/>
        </w:rPr>
        <w:t>A.1.3.1  Downloading Meeting Notes</w:t>
      </w:r>
    </w:p>
    <w:p>
      <w:pPr>
        <w:jc w:val="both"/>
        <w:spacing w:line="360" w:lineRule="auto"/>
      </w:pPr>
      <w:r>
        <w:rPr>
          <w:rFonts w:ascii="Calibri" w:hAnsi="Calibri"/>
          <w:color w:val="1E1E2E"/>
          <w:sz w:val="24"/>
        </w:rPr>
        <w:t>Once a consultation is marked completed, the platform transcribes the audio recording using the faster-whisper model and generates a structured summary using the Groq LLM. When processing is finished — typically within two to five minutes — a "Download Meeting Notes (PDF)" button appears on the appointment card. Click it to download a patient-friendly PDF summary containing diagnosis points, key discussion items, and recommended follow-up actions.</w:t>
      </w:r>
    </w:p>
    <w:p>
      <w:pPr>
        <w:spacing w:line="360" w:lineRule="auto"/>
      </w:pPr>
    </w:p>
    <w:p>
      <w:pPr>
        <w:jc w:val="left"/>
        <w:spacing w:line="360" w:lineRule="auto"/>
      </w:pPr>
      <w:r>
        <w:rPr>
          <w:rFonts w:ascii="Calibri" w:hAnsi="Calibri"/>
          <w:b/>
          <w:color w:val="0A2540"/>
          <w:sz w:val="28"/>
        </w:rPr>
        <w:t>A.1.4  AI-Powered Symptom Assessment</w:t>
      </w:r>
    </w:p>
    <w:p>
      <w:pPr>
        <w:jc w:val="both"/>
        <w:spacing w:line="360" w:lineRule="auto"/>
      </w:pPr>
      <w:r>
        <w:rPr>
          <w:rFonts w:ascii="Calibri" w:hAnsi="Calibri"/>
          <w:color w:val="1E1E2E"/>
          <w:sz w:val="24"/>
        </w:rPr>
        <w:t>The AI Chat feature is accessible from the Patient Dashboard via the "AI Symptom Advisor" link in the navigation bar. The interface presents a conversational chat window. Type a symptom or health question in natural language and press "Send." The AI engine queries a curated knowledge base of five medical reference documents using a Retrieval-Augmented Generation (RAG) pipeline. Each response includes the AI-generated answer and cited source references, enabling patients to verify information. The chat history is preserved within the session. The AI advisor is strictly informational and does not replace professional medical consultation; a disclaimer is displayed at the top of the chat window at all times.</w:t>
      </w:r>
    </w:p>
    <w:p>
      <w:pPr>
        <w:spacing w:line="360" w:lineRule="auto"/>
      </w:pPr>
    </w:p>
    <w:p>
      <w:pPr>
        <w:jc w:val="left"/>
        <w:spacing w:line="360" w:lineRule="auto"/>
      </w:pPr>
      <w:r>
        <w:rPr>
          <w:rFonts w:ascii="Calibri" w:hAnsi="Calibri"/>
          <w:b/>
          <w:color w:val="0A2540"/>
          <w:sz w:val="28"/>
        </w:rPr>
        <w:t>A.1.5  Viewing Digital Prescriptions</w:t>
      </w:r>
    </w:p>
    <w:p>
      <w:pPr>
        <w:jc w:val="both"/>
        <w:spacing w:line="360" w:lineRule="auto"/>
      </w:pPr>
      <w:r>
        <w:rPr>
          <w:rFonts w:ascii="Calibri" w:hAnsi="Calibri"/>
          <w:color w:val="1E1E2E"/>
          <w:sz w:val="24"/>
        </w:rPr>
        <w:t>After a completed appointment, the attending doctor may issue a digital prescription through the platform. Patients receive an in-platform notification when a prescription is ready. Navigate to "My Appointments," locate the completed appointment card, and click "View Prescription." The prescription page displays the full diagnosis, a structured medicines table (name, dosage, frequency, duration, and special instructions), recorded vital signs, general advice, and the recommended follow-up date. The view is formatted for easy reading and can be printed directly from the browser using the standard print function (Ctrl+P).</w:t>
      </w:r>
    </w:p>
    <w:p>
      <w:pPr>
        <w:spacing w:line="360" w:lineRule="auto"/>
      </w:pPr>
    </w:p>
    <w:p>
      <w:pPr>
        <w:jc w:val="left"/>
        <w:spacing w:line="360" w:lineRule="auto"/>
      </w:pPr>
      <w:r>
        <w:rPr>
          <w:rFonts w:ascii="Calibri" w:hAnsi="Calibri"/>
          <w:b/>
          <w:color w:val="0A2540"/>
          <w:sz w:val="28"/>
        </w:rPr>
        <w:t>A.1.6  Submitting a Review</w:t>
      </w:r>
    </w:p>
    <w:p>
      <w:pPr>
        <w:jc w:val="both"/>
        <w:spacing w:line="360" w:lineRule="auto"/>
      </w:pPr>
      <w:r>
        <w:rPr>
          <w:rFonts w:ascii="Calibri" w:hAnsi="Calibri"/>
          <w:color w:val="1E1E2E"/>
          <w:sz w:val="24"/>
        </w:rPr>
        <w:t>Patients may rate and review their doctor after a completed appointment. On the completed appointment card, click "Leave a Review." A modal dialog opens with a five-star rating selector and an optional text field accepting up to 1,000 characters. Select the rating, optionally add comments, and click "Submit Review." Once submitted, the button is replaced by a "Reviewed" badge with a star icon. Reviews are publicly visible on the doctor's profile page and contribute to the doctor's aggregate rating displayed in the Doctors Listing.</w:t>
      </w:r>
    </w:p>
    <w:p>
      <w:pPr>
        <w:spacing w:line="360" w:lineRule="auto"/>
      </w:pPr>
    </w:p>
    <w:p>
      <w:pPr>
        <w:jc w:val="left"/>
        <w:spacing w:line="360" w:lineRule="auto"/>
      </w:pPr>
      <w:r>
        <w:rPr>
          <w:rFonts w:ascii="Calibri" w:hAnsi="Calibri"/>
          <w:b/>
          <w:color w:val="0A2540"/>
          <w:sz w:val="32"/>
        </w:rPr>
        <w:t>A.2  Doctor User Guide</w:t>
      </w:r>
    </w:p>
    <w:p>
      <w:pPr>
        <w:jc w:val="both"/>
        <w:spacing w:line="360" w:lineRule="auto"/>
      </w:pPr>
      <w:r>
        <w:rPr>
          <w:rFonts w:ascii="Calibri" w:hAnsi="Calibri"/>
          <w:color w:val="1E1E2E"/>
          <w:sz w:val="24"/>
        </w:rPr>
        <w:t>This section provides step-by-step instructions for doctors using the MediCare AI platform to manage their availability, conduct video consultations, issue digital prescriptions, and review patient medical history.</w:t>
      </w:r>
    </w:p>
    <w:p>
      <w:pPr>
        <w:spacing w:line="360" w:lineRule="auto"/>
      </w:pPr>
    </w:p>
    <w:p>
      <w:pPr>
        <w:jc w:val="left"/>
        <w:spacing w:line="360" w:lineRule="auto"/>
      </w:pPr>
      <w:r>
        <w:rPr>
          <w:rFonts w:ascii="Calibri" w:hAnsi="Calibri"/>
          <w:b/>
          <w:color w:val="0A2540"/>
          <w:sz w:val="28"/>
        </w:rPr>
        <w:t>A.2.1  Doctor Registration and Profile Setup</w:t>
      </w:r>
    </w:p>
    <w:p>
      <w:pPr>
        <w:jc w:val="both"/>
        <w:spacing w:line="360" w:lineRule="auto"/>
      </w:pPr>
      <w:r>
        <w:rPr>
          <w:rFonts w:ascii="Calibri" w:hAnsi="Calibri"/>
          <w:color w:val="1E1E2E"/>
          <w:sz w:val="24"/>
        </w:rPr>
        <w:t>Navigate to the landing page and click "Doctor Sign Up." The registration form requires: first name, last name, email, password, medical speciality, years of experience, consultation fee, and a professional profile photograph. Optionally, a brief biography describing areas of expertise may be included. After submission the doctor is redirected to the Doctor Dashboard. Profile information can be updated at any time via "Edit Profile" in the navigation menu, including the profile photograph and consultation fee.</w:t>
      </w:r>
    </w:p>
    <w:p>
      <w:pPr>
        <w:spacing w:line="360" w:lineRule="auto"/>
      </w:pPr>
    </w:p>
    <w:p>
      <w:pPr>
        <w:jc w:val="left"/>
        <w:spacing w:line="360" w:lineRule="auto"/>
      </w:pPr>
      <w:r>
        <w:rPr>
          <w:rFonts w:ascii="Calibri" w:hAnsi="Calibri"/>
          <w:b/>
          <w:color w:val="0A2540"/>
          <w:sz w:val="28"/>
        </w:rPr>
        <w:t>A.2.2  Creating Availability Schedules</w:t>
      </w:r>
    </w:p>
    <w:p>
      <w:pPr>
        <w:jc w:val="both"/>
        <w:spacing w:line="360" w:lineRule="auto"/>
      </w:pPr>
      <w:r>
        <w:rPr>
          <w:rFonts w:ascii="Calibri" w:hAnsi="Calibri"/>
          <w:color w:val="1E1E2E"/>
          <w:sz w:val="24"/>
        </w:rPr>
        <w:t>Doctors control their bookable time slots through the "My Schedule" section. Click "Create Schedule" and select a date from the date picker. Add one or more time slots by specifying a start time and end time for each slot; overlapping slots are rejected by the system. Click "Save" to publish the schedule. Published slots immediately become visible to patients on the doctor's profile booking page. Slots can be deleted individually from the "My Schedule" view as long as no appointment has been booked against them.</w:t>
      </w:r>
    </w:p>
    <w:p>
      <w:pPr>
        <w:spacing w:line="360" w:lineRule="auto"/>
      </w:pPr>
    </w:p>
    <w:p>
      <w:pPr>
        <w:jc w:val="left"/>
        <w:spacing w:line="360" w:lineRule="auto"/>
      </w:pPr>
      <w:r>
        <w:rPr>
          <w:rFonts w:ascii="Calibri" w:hAnsi="Calibri"/>
          <w:b/>
          <w:color w:val="0A2540"/>
          <w:sz w:val="24"/>
        </w:rPr>
        <w:t>A.2.2.1  Managing Existing Schedules</w:t>
      </w:r>
    </w:p>
    <w:p>
      <w:pPr>
        <w:jc w:val="both"/>
        <w:spacing w:line="360" w:lineRule="auto"/>
      </w:pPr>
      <w:r>
        <w:rPr>
          <w:rFonts w:ascii="Calibri" w:hAnsi="Calibri"/>
          <w:color w:val="1E1E2E"/>
          <w:sz w:val="24"/>
        </w:rPr>
        <w:t>The "My Schedule" page lists all scheduled slots grouped by date. Each slot shows its date, start and end time, and current status (Available, Booked, or Completed). Slots with a "Booked" or "Completed" status cannot be deleted. Use the date filter to navigate between dates. The total slot count is displayed in the page header for quick reference.</w:t>
      </w:r>
    </w:p>
    <w:p>
      <w:pPr>
        <w:spacing w:line="360" w:lineRule="auto"/>
      </w:pPr>
    </w:p>
    <w:p>
      <w:pPr>
        <w:jc w:val="left"/>
        <w:spacing w:line="360" w:lineRule="auto"/>
      </w:pPr>
      <w:r>
        <w:rPr>
          <w:rFonts w:ascii="Calibri" w:hAnsi="Calibri"/>
          <w:b/>
          <w:color w:val="0A2540"/>
          <w:sz w:val="28"/>
        </w:rPr>
        <w:t>A.2.3  Managing Appointments</w:t>
      </w:r>
    </w:p>
    <w:p>
      <w:pPr>
        <w:jc w:val="both"/>
        <w:spacing w:line="360" w:lineRule="auto"/>
      </w:pPr>
      <w:r>
        <w:rPr>
          <w:rFonts w:ascii="Calibri" w:hAnsi="Calibri"/>
          <w:color w:val="1E1E2E"/>
          <w:sz w:val="24"/>
        </w:rPr>
        <w:t>The "My Appointments" page displays all patient appointments grouped by status. Doctors can filter appointments using the status bar at the top of the page: All, Upcoming, Ongoing, Completed, and Cancelled. Each appointment card shows the patient's name, scheduled date and time, and current status. For booked appointments, the "Reschedule" button allows the doctor to cancel the booking and issue the patient a free-rebook token. The "Start Consult" button becomes active five minutes before the slot starts and opens the VideoSDK video room.</w:t>
      </w:r>
    </w:p>
    <w:p>
      <w:pPr>
        <w:spacing w:line="360" w:lineRule="auto"/>
      </w:pPr>
    </w:p>
    <w:p>
      <w:pPr>
        <w:jc w:val="left"/>
        <w:spacing w:line="360" w:lineRule="auto"/>
      </w:pPr>
      <w:r>
        <w:rPr>
          <w:rFonts w:ascii="Calibri" w:hAnsi="Calibri"/>
          <w:b/>
          <w:color w:val="0A2540"/>
          <w:sz w:val="28"/>
        </w:rPr>
        <w:t>A.2.4  Writing Digital Prescriptions</w:t>
      </w:r>
    </w:p>
    <w:p>
      <w:pPr>
        <w:jc w:val="both"/>
        <w:spacing w:line="360" w:lineRule="auto"/>
      </w:pPr>
      <w:r>
        <w:rPr>
          <w:rFonts w:ascii="Calibri" w:hAnsi="Calibri"/>
          <w:color w:val="1E1E2E"/>
          <w:sz w:val="24"/>
        </w:rPr>
        <w:t>After a consultation is completed, click the "Prescription" button on the appointment card. The prescription modal opens with fields for: vital signs (blood pressure, temperature, pulse, and weight), diagnosis text, a dynamic medicines table where each medicine entry includes name, dosage, frequency, duration, and special instructions, a general advice text area, and a follow-up date picker. Additional medicine rows can be added using the "+ Add Medicine" button or removed using the row's close icon. Click "Save Prescription" to submit. The system enforces one prescription per appointment (idempotency); re-opening the modal loads the existing prescription for editing. The patient receives an in-platform notification when the prescription is saved.</w:t>
      </w:r>
    </w:p>
    <w:p>
      <w:pPr>
        <w:spacing w:line="360" w:lineRule="auto"/>
      </w:pPr>
    </w:p>
    <w:p>
      <w:pPr>
        <w:jc w:val="left"/>
        <w:spacing w:line="360" w:lineRule="auto"/>
      </w:pPr>
      <w:r>
        <w:rPr>
          <w:rFonts w:ascii="Calibri" w:hAnsi="Calibri"/>
          <w:b/>
          <w:color w:val="0A2540"/>
          <w:sz w:val="28"/>
        </w:rPr>
        <w:t>A.2.5  Viewing Patient History</w:t>
      </w:r>
    </w:p>
    <w:p>
      <w:pPr>
        <w:jc w:val="both"/>
        <w:spacing w:line="360" w:lineRule="auto"/>
      </w:pPr>
      <w:r>
        <w:rPr>
          <w:rFonts w:ascii="Calibri" w:hAnsi="Calibri"/>
          <w:color w:val="1E1E2E"/>
          <w:sz w:val="24"/>
        </w:rPr>
        <w:t>Click the "History" button on any appointment card to open the Patient History modal. The modal contains two tabs: Appointments and Prescriptions. The Appointments tab shows a detailed card for each past appointment including the attending doctor, date, time, status, and a reference ID. The Prescriptions tab shows all previously issued prescriptions for the patient, each displaying the diagnosis, vital signs recorded, full medicines list with all details, advice, and follow-up date. This enables doctors to make informed clinical decisions before issuing new prescriptions.</w:t>
      </w:r>
    </w:p>
    <w:p>
      <w:pPr>
        <w:spacing w:line="360" w:lineRule="auto"/>
      </w:pPr>
    </w:p>
    <w:p>
      <w:br w:type="page"/>
    </w:p>
    <w:p>
      <w:pPr>
        <w:jc w:val="left"/>
        <w:spacing w:line="360" w:lineRule="auto"/>
      </w:pPr>
      <w:r>
        <w:rPr>
          <w:rFonts w:ascii="Calibri" w:hAnsi="Calibri"/>
          <w:b/>
          <w:color w:val="0A2540"/>
          <w:sz w:val="40"/>
        </w:rPr>
        <w:t>Appendix B: Administrator Manual</w:t>
      </w:r>
    </w:p>
    <w:p>
      <w:pPr>
        <w:spacing w:line="360" w:lineRule="auto"/>
      </w:pPr>
    </w:p>
    <w:p>
      <w:pPr>
        <w:jc w:val="both"/>
        <w:spacing w:line="360" w:lineRule="auto"/>
      </w:pPr>
      <w:r>
        <w:rPr>
          <w:rFonts w:ascii="Calibri" w:hAnsi="Calibri"/>
          <w:color w:val="1E1E2E"/>
          <w:sz w:val="24"/>
        </w:rPr>
        <w:t>This appendix provides a complete operational reference for system administrators responsible for managing the MediCare AI platform. It covers access procedures for the Admin Dashboard, monitoring platform-wide statistics, and performing data management operations across all system entities including doctors, patients, appointments, schedules, meeting notes, and reviews. Administrators hold the highest privilege level within the application and are responsible for maintaining data integrity, moderating platform content, and ensuring operational continuity. This manual assumes the administrator has network access to the deployed application and holds valid administrator credentials issued during system setup.</w:t>
      </w:r>
    </w:p>
    <w:p>
      <w:pPr>
        <w:spacing w:line="360" w:lineRule="auto"/>
      </w:pPr>
    </w:p>
    <w:p>
      <w:pPr>
        <w:jc w:val="left"/>
        <w:spacing w:line="360" w:lineRule="auto"/>
      </w:pPr>
      <w:r>
        <w:rPr>
          <w:rFonts w:ascii="Calibri" w:hAnsi="Calibri"/>
          <w:b/>
          <w:color w:val="0A2540"/>
          <w:sz w:val="32"/>
        </w:rPr>
        <w:t>B.1  Accessing the Admin Dashboard</w:t>
      </w:r>
    </w:p>
    <w:p>
      <w:pPr>
        <w:jc w:val="both"/>
        <w:spacing w:line="360" w:lineRule="auto"/>
      </w:pPr>
      <w:r>
        <w:rPr>
          <w:rFonts w:ascii="Calibri" w:hAnsi="Calibri"/>
          <w:color w:val="1E1E2E"/>
          <w:sz w:val="24"/>
        </w:rPr>
        <w:t>The Admin Dashboard is accessible at the dedicated route /admin/login, which is not linked from the main patient or doctor interfaces and must be accessed by direct URL navigation. Enter the administrator email and password in the login form and click "Sign In." Successful authentication sets a secure HTTP-only admin session cookie valid for the duration of the browser session. The dashboard is then accessible at /admin, presenting summary statistics and navigation links to each management section.</w:t>
      </w:r>
    </w:p>
    <w:p>
      <w:pPr>
        <w:spacing w:line="360" w:lineRule="auto"/>
      </w:pPr>
    </w:p>
    <w:p>
      <w:pPr>
        <w:jc w:val="left"/>
        <w:spacing w:line="360" w:lineRule="auto"/>
      </w:pPr>
      <w:r>
        <w:rPr>
          <w:rFonts w:ascii="Calibri" w:hAnsi="Calibri"/>
          <w:b/>
          <w:color w:val="0A2540"/>
          <w:sz w:val="28"/>
        </w:rPr>
        <w:t>B.1.1  Dashboard Statistics Overview</w:t>
      </w:r>
    </w:p>
    <w:p>
      <w:pPr>
        <w:jc w:val="both"/>
        <w:spacing w:line="360" w:lineRule="auto"/>
      </w:pPr>
      <w:r>
        <w:rPr>
          <w:rFonts w:ascii="Calibri" w:hAnsi="Calibri"/>
          <w:color w:val="1E1E2E"/>
          <w:sz w:val="24"/>
        </w:rPr>
        <w:t>The top section of the Admin Dashboard displays real-time aggregate statistics retrieved from the backend GET /admin/stats endpoint. The statistics panel shows: total registered doctors, total registered patients, total appointments (all statuses), total completed appointments, total cancelled appointments, total meeting notes generated, and total reviews submitted. These figures update each time the page is loaded or refreshed and provide a high-level view of platform health and usage.</w:t>
      </w:r>
    </w:p>
    <w:p>
      <w:pPr>
        <w:spacing w:line="360" w:lineRule="auto"/>
      </w:pPr>
    </w:p>
    <w:p>
      <w:pPr>
        <w:jc w:val="left"/>
        <w:spacing w:line="360" w:lineRule="auto"/>
      </w:pPr>
      <w:r>
        <w:rPr>
          <w:rFonts w:ascii="Calibri" w:hAnsi="Calibri"/>
          <w:b/>
          <w:color w:val="0A2540"/>
          <w:sz w:val="24"/>
        </w:rPr>
        <w:t>B.1.1.1  Session Management</w:t>
      </w:r>
    </w:p>
    <w:p>
      <w:pPr>
        <w:jc w:val="both"/>
        <w:spacing w:line="360" w:lineRule="auto"/>
      </w:pPr>
      <w:r>
        <w:rPr>
          <w:rFonts w:ascii="Calibri" w:hAnsi="Calibri"/>
          <w:color w:val="1E1E2E"/>
          <w:sz w:val="24"/>
        </w:rPr>
        <w:t>The admin session is maintained via an HTTP-only cookie. There is no automatic idle timeout within the current release; administrators should manually log out using the "Logout" button accessible in the admin navigation bar after completing their session. The backend POST /admin/logout endpoint clears the session cookie server-side, ensuring the token cannot be reused after logout.</w:t>
      </w:r>
    </w:p>
    <w:p>
      <w:pPr>
        <w:spacing w:line="360" w:lineRule="auto"/>
      </w:pPr>
    </w:p>
    <w:p>
      <w:pPr>
        <w:jc w:val="left"/>
        <w:spacing w:line="360" w:lineRule="auto"/>
      </w:pPr>
      <w:r>
        <w:rPr>
          <w:rFonts w:ascii="Calibri" w:hAnsi="Calibri"/>
          <w:b/>
          <w:color w:val="0A2540"/>
          <w:sz w:val="32"/>
        </w:rPr>
        <w:t>B.2  Managing Doctors</w:t>
      </w:r>
    </w:p>
    <w:p>
      <w:pPr>
        <w:jc w:val="both"/>
        <w:spacing w:line="360" w:lineRule="auto"/>
      </w:pPr>
      <w:r>
        <w:rPr>
          <w:rFonts w:ascii="Calibri" w:hAnsi="Calibri"/>
          <w:color w:val="1E1E2E"/>
          <w:sz w:val="24"/>
        </w:rPr>
        <w:t>Navigate to the Doctors section from the Admin Dashboard sidebar. The page fetches all registered doctor records via GET /admin/doctors and displays them in a searchable, paginated table showing the doctor's name, email, speciality, experience, consultation fee, and registration date. Administrators can search by name or speciality using the search bar.</w:t>
      </w:r>
    </w:p>
    <w:p>
      <w:pPr>
        <w:spacing w:line="360" w:lineRule="auto"/>
      </w:pPr>
    </w:p>
    <w:p>
      <w:pPr>
        <w:jc w:val="left"/>
        <w:spacing w:line="360" w:lineRule="auto"/>
      </w:pPr>
      <w:r>
        <w:rPr>
          <w:rFonts w:ascii="Calibri" w:hAnsi="Calibri"/>
          <w:b/>
          <w:color w:val="0A2540"/>
          <w:sz w:val="28"/>
        </w:rPr>
        <w:t>B.2.1  Removing a Doctor Account</w:t>
      </w:r>
    </w:p>
    <w:p>
      <w:pPr>
        <w:jc w:val="both"/>
        <w:spacing w:line="360" w:lineRule="auto"/>
      </w:pPr>
      <w:r>
        <w:rPr>
          <w:rFonts w:ascii="Calibri" w:hAnsi="Calibri"/>
          <w:color w:val="1E1E2E"/>
          <w:sz w:val="24"/>
        </w:rPr>
        <w:t>To delete a doctor record, locate the doctor row in the table and click the "Delete" button. A confirmation dialog appears requiring explicit confirmation before the action proceeds. The backend executes DELETE /admin/doctor/:id, which removes the doctor document from the MongoDB Doctor collection. Note that appointments, schedules, and reviews associated with the deleted doctor remain in the database for audit purposes but will show the doctor as unavailable in patient-facing interfaces. This action is irreversible and should be used only when a doctor account is confirmed fraudulent or inactive.</w:t>
      </w:r>
    </w:p>
    <w:p>
      <w:pPr>
        <w:spacing w:line="360" w:lineRule="auto"/>
      </w:pPr>
    </w:p>
    <w:p>
      <w:pPr>
        <w:jc w:val="left"/>
        <w:spacing w:line="360" w:lineRule="auto"/>
      </w:pPr>
      <w:r>
        <w:rPr>
          <w:rFonts w:ascii="Calibri" w:hAnsi="Calibri"/>
          <w:b/>
          <w:color w:val="0A2540"/>
          <w:sz w:val="24"/>
        </w:rPr>
        <w:t>B.2.1.1  When to Remove a Doctor Account</w:t>
      </w:r>
    </w:p>
    <w:p>
      <w:pPr>
        <w:jc w:val="both"/>
        <w:spacing w:line="360" w:lineRule="auto"/>
      </w:pPr>
      <w:r>
        <w:rPr>
          <w:rFonts w:ascii="Calibri" w:hAnsi="Calibri"/>
          <w:color w:val="1E1E2E"/>
          <w:sz w:val="24"/>
        </w:rPr>
        <w:t>Removal is appropriate when: a doctor account has been flagged as a duplicate registration, when a practitioner has formally withdrawn from the platform, or when account credentials are suspected to be compromised and no remediation is possible. For temporary suspension, the recommendation is to coordinate a password reset rather than full deletion, preserving historical appointment and review data.</w:t>
      </w:r>
    </w:p>
    <w:p>
      <w:pPr>
        <w:spacing w:line="360" w:lineRule="auto"/>
      </w:pPr>
    </w:p>
    <w:p>
      <w:pPr>
        <w:jc w:val="left"/>
        <w:spacing w:line="360" w:lineRule="auto"/>
      </w:pPr>
      <w:r>
        <w:rPr>
          <w:rFonts w:ascii="Calibri" w:hAnsi="Calibri"/>
          <w:b/>
          <w:color w:val="0A2540"/>
          <w:sz w:val="32"/>
        </w:rPr>
        <w:t>B.3  Managing Patients</w:t>
      </w:r>
    </w:p>
    <w:p>
      <w:pPr>
        <w:jc w:val="both"/>
        <w:spacing w:line="360" w:lineRule="auto"/>
      </w:pPr>
      <w:r>
        <w:rPr>
          <w:rFonts w:ascii="Calibri" w:hAnsi="Calibri"/>
          <w:color w:val="1E1E2E"/>
          <w:sz w:val="24"/>
        </w:rPr>
        <w:t>The Patients section lists all registered patient accounts retrieved via GET /admin/patients. The table displays each patient's full name, email address, gender, date of birth, and account creation date. Administrators may delete any patient account using the per-row "Delete" button, which calls DELETE /admin/patient/:id. The same confirmation dialog and data-retention considerations described for doctor removal apply here. Patient chat histories, appointment records, and reviews are retained for audit and historical analysis.</w:t>
      </w:r>
    </w:p>
    <w:p>
      <w:pPr>
        <w:spacing w:line="360" w:lineRule="auto"/>
      </w:pPr>
    </w:p>
    <w:p>
      <w:pPr>
        <w:jc w:val="left"/>
        <w:spacing w:line="360" w:lineRule="auto"/>
      </w:pPr>
      <w:r>
        <w:rPr>
          <w:rFonts w:ascii="Calibri" w:hAnsi="Calibri"/>
          <w:b/>
          <w:color w:val="0A2540"/>
          <w:sz w:val="28"/>
        </w:rPr>
        <w:t>B.3.1  Privacy Considerations</w:t>
      </w:r>
    </w:p>
    <w:p>
      <w:pPr>
        <w:jc w:val="both"/>
        <w:spacing w:line="360" w:lineRule="auto"/>
      </w:pPr>
      <w:r>
        <w:rPr>
          <w:rFonts w:ascii="Calibri" w:hAnsi="Calibri"/>
          <w:color w:val="1E1E2E"/>
          <w:sz w:val="24"/>
        </w:rPr>
        <w:t>Patient data is sensitive personal health information. Administrators must comply with applicable data protection regulations when viewing, exporting, or deleting patient records. The Admin Dashboard does not provide a bulk-export or bulk-delete function; all operations are performed on individual records with explicit confirmation steps to prevent accidental mass data loss. Access to the admin interface must be strictly limited to authorised personnel and should be performed over a secure, encrypted network connection.</w:t>
      </w:r>
    </w:p>
    <w:p>
      <w:pPr>
        <w:spacing w:line="360" w:lineRule="auto"/>
      </w:pPr>
    </w:p>
    <w:p>
      <w:pPr>
        <w:jc w:val="left"/>
        <w:spacing w:line="360" w:lineRule="auto"/>
      </w:pPr>
      <w:r>
        <w:rPr>
          <w:rFonts w:ascii="Calibri" w:hAnsi="Calibri"/>
          <w:b/>
          <w:color w:val="0A2540"/>
          <w:sz w:val="32"/>
        </w:rPr>
        <w:t>B.4  Managing Appointments</w:t>
      </w:r>
    </w:p>
    <w:p>
      <w:pPr>
        <w:jc w:val="both"/>
        <w:spacing w:line="360" w:lineRule="auto"/>
      </w:pPr>
      <w:r>
        <w:rPr>
          <w:rFonts w:ascii="Calibri" w:hAnsi="Calibri"/>
          <w:color w:val="1E1E2E"/>
          <w:sz w:val="24"/>
        </w:rPr>
        <w:t>The Appointments section retrieves all appointment records via GET /admin/appointments and presents them in a filterable table showing appointment ID, patient name, doctor name, scheduled date and time, and current status. Administrators can delete individual appointments using DELETE /admin/appointment/:id. This capability is intended for removing test data, resolving data conflicts, or purging appointments created erroneously. Deleting an appointment does not automatically cancel the associated VideoSDK meeting room; the room expires naturally on VideoSDK's servers.</w:t>
      </w:r>
    </w:p>
    <w:p>
      <w:pPr>
        <w:spacing w:line="360" w:lineRule="auto"/>
      </w:pPr>
    </w:p>
    <w:p>
      <w:pPr>
        <w:jc w:val="left"/>
        <w:spacing w:line="360" w:lineRule="auto"/>
      </w:pPr>
      <w:r>
        <w:rPr>
          <w:rFonts w:ascii="Calibri" w:hAnsi="Calibri"/>
          <w:b/>
          <w:color w:val="0A2540"/>
          <w:sz w:val="28"/>
        </w:rPr>
        <w:t>B.4.1  Managing Schedules</w:t>
      </w:r>
    </w:p>
    <w:p>
      <w:pPr>
        <w:jc w:val="both"/>
        <w:spacing w:line="360" w:lineRule="auto"/>
      </w:pPr>
      <w:r>
        <w:rPr>
          <w:rFonts w:ascii="Calibri" w:hAnsi="Calibri"/>
          <w:color w:val="1E1E2E"/>
          <w:sz w:val="24"/>
        </w:rPr>
        <w:t>The Schedules section lists all doctor availability slots fetched via GET /admin/schedules. Each record shows the owning doctor, date, start time, end time, and status. Administrators may delete orphaned or erroneous schedule records using DELETE /admin/schedule/:id. Booked slots should only be deleted after confirming that the associated appointment has been handled appropriately to avoid leaving appointments in an inconsistent state.</w:t>
      </w:r>
    </w:p>
    <w:p>
      <w:pPr>
        <w:spacing w:line="360" w:lineRule="auto"/>
      </w:pPr>
    </w:p>
    <w:p>
      <w:pPr>
        <w:jc w:val="left"/>
        <w:spacing w:line="360" w:lineRule="auto"/>
      </w:pPr>
      <w:r>
        <w:rPr>
          <w:rFonts w:ascii="Calibri" w:hAnsi="Calibri"/>
          <w:b/>
          <w:color w:val="0A2540"/>
          <w:sz w:val="32"/>
        </w:rPr>
        <w:t>B.5  Managing Meeting Notes and Reviews</w:t>
      </w:r>
    </w:p>
    <w:p>
      <w:pPr>
        <w:jc w:val="both"/>
        <w:spacing w:line="360" w:lineRule="auto"/>
      </w:pPr>
      <w:r>
        <w:rPr>
          <w:rFonts w:ascii="Calibri" w:hAnsi="Calibri"/>
          <w:color w:val="1E1E2E"/>
          <w:sz w:val="24"/>
        </w:rPr>
        <w:t>Meeting Notes records are accessible via GET /admin/meeting-notes and display the associated appointment, generation status (processing, complete, or failed), and a download link for completed PDF notes. Failed notes may indicate that audio was not captured during the consultation or that the transcription service encountered an error. DELETE /admin/meeting-note/:id removes the database record; the physical PDF file on the server should be removed separately if storage reclamation is required.</w:t>
      </w:r>
    </w:p>
    <w:p>
      <w:pPr>
        <w:spacing w:line="360" w:lineRule="auto"/>
      </w:pPr>
    </w:p>
    <w:p>
      <w:pPr>
        <w:jc w:val="left"/>
        <w:spacing w:line="360" w:lineRule="auto"/>
      </w:pPr>
      <w:r>
        <w:rPr>
          <w:rFonts w:ascii="Calibri" w:hAnsi="Calibri"/>
          <w:b/>
          <w:color w:val="0A2540"/>
          <w:sz w:val="28"/>
        </w:rPr>
        <w:t>B.5.1  Moderating Reviews</w:t>
      </w:r>
    </w:p>
    <w:p>
      <w:pPr>
        <w:jc w:val="both"/>
        <w:spacing w:line="360" w:lineRule="auto"/>
      </w:pPr>
      <w:r>
        <w:rPr>
          <w:rFonts w:ascii="Calibri" w:hAnsi="Calibri"/>
          <w:color w:val="1E1E2E"/>
          <w:sz w:val="24"/>
        </w:rPr>
        <w:t>The Reviews section lists all patient-submitted reviews via GET /admin/reviews, displaying the reviewer's name, the reviewed doctor, the star rating, the review text, and the submission date. Administrators may remove inappropriate, abusive, or fraudulent reviews using DELETE /admin/review/:id. Deletion of a review updates the associated doctor's aggregate rating dynamically through the rating recalculation logic in the backend.</w:t>
      </w:r>
    </w:p>
    <w:p>
      <w:pPr>
        <w:spacing w:line="360" w:lineRule="auto"/>
      </w:pPr>
    </w:p>
    <w:p>
      <w:pPr>
        <w:jc w:val="left"/>
        <w:spacing w:line="360" w:lineRule="auto"/>
      </w:pPr>
      <w:r>
        <w:rPr>
          <w:rFonts w:ascii="Calibri" w:hAnsi="Calibri"/>
          <w:b/>
          <w:color w:val="0A2540"/>
          <w:sz w:val="24"/>
        </w:rPr>
        <w:t>B.5.1.1  Criteria for Review Removal</w:t>
      </w:r>
    </w:p>
    <w:p>
      <w:pPr>
        <w:jc w:val="both"/>
        <w:spacing w:line="360" w:lineRule="auto"/>
      </w:pPr>
      <w:r>
        <w:rPr>
          <w:rFonts w:ascii="Calibri" w:hAnsi="Calibri"/>
          <w:color w:val="1E1E2E"/>
          <w:sz w:val="24"/>
        </w:rPr>
        <w:t>A review should be considered for removal if it: contains offensive or discriminatory language, references personal information that should not be publicly visible, appears to be a duplicate submission from the same appointment, or is confirmed to be submitted by a user who did not complete a genuine appointment with the rated doctor. Legitimate negative reviews must not be removed solely due to low ratings.</w:t>
      </w:r>
    </w:p>
    <w:p>
      <w:pPr>
        <w:spacing w:line="360" w:lineRule="auto"/>
      </w:pPr>
    </w:p>
    <w:p>
      <w:br w:type="page"/>
    </w:p>
    <w:p>
      <w:pPr>
        <w:jc w:val="left"/>
        <w:spacing w:line="360" w:lineRule="auto"/>
      </w:pPr>
      <w:r>
        <w:rPr>
          <w:rFonts w:ascii="Calibri" w:hAnsi="Calibri"/>
          <w:b/>
          <w:color w:val="0A2540"/>
          <w:sz w:val="40"/>
        </w:rPr>
        <w:t>Appendix C: Information / Promotional Material</w:t>
      </w:r>
    </w:p>
    <w:p>
      <w:pPr>
        <w:spacing w:line="360" w:lineRule="auto"/>
      </w:pPr>
    </w:p>
    <w:p>
      <w:pPr>
        <w:jc w:val="both"/>
        <w:spacing w:line="360" w:lineRule="auto"/>
      </w:pPr>
      <w:r>
        <w:rPr>
          <w:rFonts w:ascii="Calibri" w:hAnsi="Calibri"/>
          <w:color w:val="1E1E2E"/>
          <w:sz w:val="24"/>
        </w:rPr>
        <w:t>This appendix presents the suite of promotional and informational materials developed to communicate the MediCare AI platform's value proposition to prospective patients, healthcare practitioners, and institutional stakeholders. The materials are designed to convey the platform's core benefits — accessible teleconsultation, AI-assisted health guidance, digital prescriptions, and automated meeting documentation — in concise, visually engaging formats suitable for both print distribution and digital display. Each asset targets a specific communication context, from a detailed informational brochure through to large-format outdoor banners, ensuring consistent brand messaging across all channels. The colour palette, typography, and tone used across all materials align with the MediCare AI brand identity: navy (#0A2540), teal (#00B4A0), and clean white backgrounds conveying clinical trust and technological modernity.</w:t>
      </w:r>
    </w:p>
    <w:p>
      <w:pPr>
        <w:spacing w:line="360" w:lineRule="auto"/>
      </w:pPr>
    </w:p>
    <w:p>
      <w:pPr>
        <w:jc w:val="left"/>
        <w:spacing w:line="360" w:lineRule="auto"/>
      </w:pPr>
      <w:r>
        <w:rPr>
          <w:rFonts w:ascii="Calibri" w:hAnsi="Calibri"/>
          <w:b/>
          <w:color w:val="0A2540"/>
          <w:sz w:val="32"/>
        </w:rPr>
        <w:t>C.1  Brochure</w:t>
      </w:r>
    </w:p>
    <w:p>
      <w:pPr>
        <w:jc w:val="both"/>
        <w:spacing w:line="360" w:lineRule="auto"/>
      </w:pPr>
      <w:r>
        <w:rPr>
          <w:rFonts w:ascii="Calibri" w:hAnsi="Calibri"/>
          <w:color w:val="1E1E2E"/>
          <w:sz w:val="24"/>
        </w:rPr>
        <w:t>The MediCare AI brochure is a tri-fold A4 print piece designed for distribution at hospitals, clinics, pharmacies, and university health centres. The front panel features the MediCare AI logo, the tagline "Your Health. Anytime. Anywhere.", and a high-quality illustration of a patient consulting a doctor via video call. The inner panels are structured across three columns: the first column introduces the platform and its mission of democratising access to qualified healthcare through technology; the second column details the five core features — one-click video consultations, AI symptom checking, digital prescriptions, automated meeting notes, and doctor discovery with verified reviews; the third column contains a step-by-step "Get Started" guide (scan QR code → register in 60 seconds → book your first appointment → consult from anywhere). The back panel provides the platform URL, support email, QR code linking to the registration page, and a short privacy assurance statement.</w:t>
      </w:r>
    </w:p>
    <w:p>
      <w:pPr>
        <w:spacing w:line="360" w:lineRule="auto"/>
      </w:pPr>
    </w:p>
    <w:p>
      <w:pPr>
        <w:jc w:val="left"/>
        <w:spacing w:line="360" w:lineRule="auto"/>
      </w:pPr>
      <w:r>
        <w:rPr>
          <w:rFonts w:ascii="Calibri" w:hAnsi="Calibri"/>
          <w:b/>
          <w:color w:val="0A2540"/>
          <w:sz w:val="28"/>
        </w:rPr>
        <w:t>C.1.1  Brochure Design Specifications</w:t>
      </w:r>
    </w:p>
    <w:p>
      <w:pPr>
        <w:jc w:val="both"/>
        <w:spacing w:line="360" w:lineRule="auto"/>
      </w:pPr>
      <w:r>
        <w:rPr>
          <w:rFonts w:ascii="Calibri" w:hAnsi="Calibri"/>
          <w:color w:val="1E1E2E"/>
          <w:sz w:val="24"/>
        </w:rPr>
        <w:t>Dimensions: 297 mm × 210 mm (A4, landscape), folded to 99 mm × 210 mm panels. Bleed: 3 mm on all sides. Resolution: 300 DPI minimum for print. Primary font: Calibri for headings, Times New Roman for body text. Primary colours: Navy (#0A2540) for headings and icon backgrounds, Teal (#00B4A0) for call-to-action buttons and accent lines, White (#FFFFFF) for panel backgrounds. File format for print submission: PDF/X-1a with embedded fonts.</w:t>
      </w:r>
    </w:p>
    <w:p>
      <w:pPr>
        <w:spacing w:line="360" w:lineRule="auto"/>
      </w:pPr>
    </w:p>
    <w:p>
      <w:pPr>
        <w:jc w:val="left"/>
        <w:spacing w:line="360" w:lineRule="auto"/>
      </w:pPr>
      <w:r>
        <w:rPr>
          <w:rFonts w:ascii="Calibri" w:hAnsi="Calibri"/>
          <w:b/>
          <w:color w:val="0A2540"/>
          <w:sz w:val="24"/>
        </w:rPr>
        <w:t>C.1.1.1  Key Messages</w:t>
      </w:r>
    </w:p>
    <w:p>
      <w:pPr>
        <w:jc w:val="both"/>
        <w:spacing w:line="360" w:lineRule="auto"/>
      </w:pPr>
      <w:r>
        <w:rPr>
          <w:rFonts w:ascii="Calibri" w:hAnsi="Calibri"/>
          <w:color w:val="1E1E2E"/>
          <w:sz w:val="24"/>
        </w:rPr>
        <w:t>The brochure communicates three primary messages: (1) Convenience — "See a verified doctor from your home in minutes, no travel required."; (2) Intelligence — "Our AI symptom advisor gives you evidence-based health guidance before your appointment."; (3) Continuity — "Digital prescriptions and AI-generated meeting notes keep your complete medical record in one secure place, accessible anytime."</w:t>
      </w:r>
    </w:p>
    <w:p>
      <w:pPr>
        <w:spacing w:line="360" w:lineRule="auto"/>
      </w:pPr>
    </w:p>
    <w:p>
      <w:pPr>
        <w:jc w:val="left"/>
        <w:spacing w:line="360" w:lineRule="auto"/>
      </w:pPr>
      <w:r>
        <w:rPr>
          <w:rFonts w:ascii="Calibri" w:hAnsi="Calibri"/>
          <w:b/>
          <w:color w:val="0A2540"/>
          <w:sz w:val="32"/>
        </w:rPr>
        <w:t>C.2  Flyer</w:t>
      </w:r>
    </w:p>
    <w:p>
      <w:pPr>
        <w:jc w:val="both"/>
        <w:spacing w:line="360" w:lineRule="auto"/>
      </w:pPr>
      <w:r>
        <w:rPr>
          <w:rFonts w:ascii="Calibri" w:hAnsi="Calibri"/>
          <w:color w:val="1E1E2E"/>
          <w:sz w:val="24"/>
        </w:rPr>
        <w:t>The MediCare AI flyer is a single-sided A5 promotional sheet intended for mass distribution at campus events, community health fairs, and waiting rooms. The design prioritises immediate visual impact: a bold teal header band containing the platform name and tagline, a central section listing the three most compelling user benefits as icon-accompanied bullet points (Video Consultation icon — "Consult verified doctors from your phone or laptop"; Brain/AI icon — "AI symptom checker available 24/7 at no extra cost"; Document icon — "Digital prescriptions delivered instantly after your appointment"), and a footer containing a large QR code and the URL. The overall layout is designed to be readable within three seconds, with a call to action "Scan to Book Your First Consultation" prominently placed below the QR code.</w:t>
      </w:r>
    </w:p>
    <w:p>
      <w:pPr>
        <w:spacing w:line="360" w:lineRule="auto"/>
      </w:pPr>
    </w:p>
    <w:p>
      <w:pPr>
        <w:jc w:val="left"/>
        <w:spacing w:line="360" w:lineRule="auto"/>
      </w:pPr>
      <w:r>
        <w:rPr>
          <w:rFonts w:ascii="Calibri" w:hAnsi="Calibri"/>
          <w:b/>
          <w:color w:val="0A2540"/>
          <w:sz w:val="28"/>
        </w:rPr>
        <w:t>C.2.1  Flyer Design Specifications</w:t>
      </w:r>
    </w:p>
    <w:p>
      <w:pPr>
        <w:jc w:val="both"/>
        <w:spacing w:line="360" w:lineRule="auto"/>
      </w:pPr>
      <w:r>
        <w:rPr>
          <w:rFonts w:ascii="Calibri" w:hAnsi="Calibri"/>
          <w:color w:val="1E1E2E"/>
          <w:sz w:val="24"/>
        </w:rPr>
        <w:t>Dimensions: 148 mm × 210 mm (A5, portrait). Resolution: 300 DPI minimum. The flyer is designed for single-sided digital printing on 130 gsm gloss paper. Colour mode: CMYK. The QR code encodes the direct patient registration URL and is tested for scannability at sizes down to 25 mm × 25 mm. A digital version optimised for social media (1080 × 1920 px at 72 DPI) is produced from the same artwork by removing bleed and adjusting margins.</w:t>
      </w:r>
    </w:p>
    <w:p>
      <w:pPr>
        <w:spacing w:line="360" w:lineRule="auto"/>
      </w:pPr>
    </w:p>
    <w:p>
      <w:pPr>
        <w:jc w:val="left"/>
        <w:spacing w:line="360" w:lineRule="auto"/>
      </w:pPr>
      <w:r>
        <w:rPr>
          <w:rFonts w:ascii="Calibri" w:hAnsi="Calibri"/>
          <w:b/>
          <w:color w:val="0A2540"/>
          <w:sz w:val="32"/>
        </w:rPr>
        <w:t>C.3  Standee</w:t>
      </w:r>
    </w:p>
    <w:p>
      <w:pPr>
        <w:jc w:val="both"/>
        <w:spacing w:line="360" w:lineRule="auto"/>
      </w:pPr>
      <w:r>
        <w:rPr>
          <w:rFonts w:ascii="Calibri" w:hAnsi="Calibri"/>
          <w:color w:val="1E1E2E"/>
          <w:sz w:val="24"/>
        </w:rPr>
        <w:t>The MediCare AI pull-up standee is a 85 cm × 200 cm roll-up display banner designed for placement at health exhibitions, conference registration desks, and hospital reception areas. The upper third of the standee features the platform logo against a navy gradient background with the tagline in large white Calibri Bold text. The middle third presents four service pillars arranged horizontally with illustrative icons and two-line descriptions: "Doctor Discovery" (Search verified specialists by name or specialty), "Video Consultation" (HD video calls from any device, no app install needed), "AI Health Advisor" (Evidence-based symptom assessment powered by medical literature), and "Digital Prescription" (Structured prescriptions delivered to your patient account instantly). The lower third contains a QR code, the platform URL, and a short social proof statement citing the number of available specialists.</w:t>
      </w:r>
    </w:p>
    <w:p>
      <w:pPr>
        <w:spacing w:line="360" w:lineRule="auto"/>
      </w:pPr>
    </w:p>
    <w:p>
      <w:pPr>
        <w:jc w:val="left"/>
        <w:spacing w:line="360" w:lineRule="auto"/>
      </w:pPr>
      <w:r>
        <w:rPr>
          <w:rFonts w:ascii="Calibri" w:hAnsi="Calibri"/>
          <w:b/>
          <w:color w:val="0A2540"/>
          <w:sz w:val="28"/>
        </w:rPr>
        <w:t>C.3.1  Standee Design Specifications</w:t>
      </w:r>
    </w:p>
    <w:p>
      <w:pPr>
        <w:jc w:val="both"/>
        <w:spacing w:line="360" w:lineRule="auto"/>
      </w:pPr>
      <w:r>
        <w:rPr>
          <w:rFonts w:ascii="Calibri" w:hAnsi="Calibri"/>
          <w:color w:val="1E1E2E"/>
          <w:sz w:val="24"/>
        </w:rPr>
        <w:t>Dimensions: 850 mm × 2000 mm. Resolution: 150 DPI at full size (minimum). File format for production: PDF with 5 mm bleed. Material recommendation: 440 gsm PVC vinyl with matte laminate finish to reduce glare under indoor lighting. The standee includes a graphic safe zone of 50 mm from the bottom edge to account for the pull-up mechanism housing. Text elements are sized for legibility from a distance of 1.5 to 3 metres.</w:t>
      </w:r>
    </w:p>
    <w:p>
      <w:pPr>
        <w:spacing w:line="360" w:lineRule="auto"/>
      </w:pPr>
    </w:p>
    <w:p>
      <w:pPr>
        <w:jc w:val="left"/>
        <w:spacing w:line="360" w:lineRule="auto"/>
      </w:pPr>
      <w:r>
        <w:rPr>
          <w:rFonts w:ascii="Calibri" w:hAnsi="Calibri"/>
          <w:b/>
          <w:color w:val="0A2540"/>
          <w:sz w:val="24"/>
        </w:rPr>
        <w:t>C.3.1.1  Placement Guidelines</w:t>
      </w:r>
    </w:p>
    <w:p>
      <w:pPr>
        <w:jc w:val="both"/>
        <w:spacing w:line="360" w:lineRule="auto"/>
      </w:pPr>
      <w:r>
        <w:rPr>
          <w:rFonts w:ascii="Calibri" w:hAnsi="Calibri"/>
          <w:color w:val="1E1E2E"/>
          <w:sz w:val="24"/>
        </w:rPr>
        <w:t>For optimal visibility, the standee should be placed at eye level in high-foot-traffic areas such as entrances, waiting rooms, or near information desks. It should not be positioned directly in front of windows or strong light sources, as back-lighting significantly reduces text readability on matte vinyl. Two standees placed symmetrically at a booth entrance create a professional framing effect for exhibition contexts.</w:t>
      </w:r>
    </w:p>
    <w:p>
      <w:pPr>
        <w:spacing w:line="360" w:lineRule="auto"/>
      </w:pPr>
    </w:p>
    <w:p>
      <w:pPr>
        <w:jc w:val="left"/>
        <w:spacing w:line="360" w:lineRule="auto"/>
      </w:pPr>
      <w:r>
        <w:rPr>
          <w:rFonts w:ascii="Calibri" w:hAnsi="Calibri"/>
          <w:b/>
          <w:color w:val="0A2540"/>
          <w:sz w:val="32"/>
        </w:rPr>
        <w:t>C.4  Banner</w:t>
      </w:r>
    </w:p>
    <w:p>
      <w:pPr>
        <w:jc w:val="both"/>
        <w:spacing w:line="360" w:lineRule="auto"/>
      </w:pPr>
      <w:r>
        <w:rPr>
          <w:rFonts w:ascii="Calibri" w:hAnsi="Calibri"/>
          <w:color w:val="1E1E2E"/>
          <w:sz w:val="24"/>
        </w:rPr>
        <w:t>The MediCare AI horizontal banner is designed for large-format outdoor and indoor display, such as stage backdrops at health conferences, building facades during launch events, or stretched across auditorium screens. At 300 cm × 90 cm, the banner communicates a single high-impact message: the MediCare AI logotype in large format on the left, the central message "Bringing Healthcare Closer — One Click at a Time" in white 72 pt Calibri Bold on a navy background, and on the right a QR code panel with "Book Your Consultation Now" in teal. The sparse, three-zone layout ensures the banner remains legible from distances of five metres or more and photographs cleanly for event documentation.</w:t>
      </w:r>
    </w:p>
    <w:p>
      <w:pPr>
        <w:spacing w:line="360" w:lineRule="auto"/>
      </w:pPr>
    </w:p>
    <w:p>
      <w:pPr>
        <w:jc w:val="left"/>
        <w:spacing w:line="360" w:lineRule="auto"/>
      </w:pPr>
      <w:r>
        <w:rPr>
          <w:rFonts w:ascii="Calibri" w:hAnsi="Calibri"/>
          <w:b/>
          <w:color w:val="0A2540"/>
          <w:sz w:val="28"/>
        </w:rPr>
        <w:t>C.4.1  Banner Design Specifications</w:t>
      </w:r>
    </w:p>
    <w:p>
      <w:pPr>
        <w:jc w:val="both"/>
        <w:spacing w:line="360" w:lineRule="auto"/>
      </w:pPr>
      <w:r>
        <w:rPr>
          <w:rFonts w:ascii="Calibri" w:hAnsi="Calibri"/>
          <w:color w:val="1E1E2E"/>
          <w:sz w:val="24"/>
        </w:rPr>
        <w:t>Dimensions: 3000 mm × 900 mm (landscape). Resolution: 100 DPI at full size. Material: 510 gsm PVC flex with reinforced hemming and brass eyelets at 500 mm intervals for suspension. Colour mode: CMYK with Pantone equivalents — Navy: Pantone 2965 C; Teal: Pantone 3272 C. File format for production: PDF/X-4 with all fonts embedded and images flattened. A secondary indoor version (200 cm × 60 cm, 150 DPI, fabric substrate) is produced for conference exhibitor booths.</w:t>
      </w:r>
    </w:p>
    <w:p>
      <w:pPr>
        <w:spacing w:line="360" w:lineRule="auto"/>
      </w:pPr>
    </w:p>
    <w:p>
      <w:br w:type="page"/>
    </w:p>
    <w:p>
      <w:pPr>
        <w:jc w:val="left"/>
        <w:spacing w:line="360" w:lineRule="auto"/>
      </w:pPr>
      <w:r>
        <w:rPr>
          <w:rFonts w:ascii="Calibri" w:hAnsi="Calibri"/>
          <w:b/>
          <w:color w:val="0A2540"/>
          <w:sz w:val="40"/>
        </w:rPr>
        <w:t>Appendix D: Installation and Deployment Guide</w:t>
      </w:r>
    </w:p>
    <w:p>
      <w:pPr>
        <w:spacing w:line="360" w:lineRule="auto"/>
      </w:pPr>
    </w:p>
    <w:p>
      <w:pPr>
        <w:jc w:val="both"/>
        <w:spacing w:line="360" w:lineRule="auto"/>
      </w:pPr>
      <w:r>
        <w:rPr>
          <w:rFonts w:ascii="Calibri" w:hAnsi="Calibri"/>
          <w:color w:val="1E1E2E"/>
          <w:sz w:val="24"/>
        </w:rPr>
        <w:t>This appendix provides a technical guide for setting up and deploying the MediCare AI telemedicine platform in a local development environment and a production server environment. It covers the prerequisites for each of the three service tiers — Frontend, Backend, and AI Service — including dependency installation, environment variable configuration, and startup procedures. The guide also describes the build and deployment steps required to serve the platform in a production context with appropriate security hardening. Readers are expected to have basic familiarity with command-line interfaces, Node.js package management, and Python virtual environments. All commands are presented for Unix-like environments; Windows equivalents are noted where they differ.</w:t>
      </w:r>
    </w:p>
    <w:p>
      <w:pPr>
        <w:spacing w:line="360" w:lineRule="auto"/>
      </w:pPr>
    </w:p>
    <w:p>
      <w:pPr>
        <w:jc w:val="left"/>
        <w:spacing w:line="360" w:lineRule="auto"/>
      </w:pPr>
      <w:r>
        <w:rPr>
          <w:rFonts w:ascii="Calibri" w:hAnsi="Calibri"/>
          <w:b/>
          <w:color w:val="0A2540"/>
          <w:sz w:val="32"/>
        </w:rPr>
        <w:t>D.1  Prerequisites and System Requirements</w:t>
      </w:r>
    </w:p>
    <w:p>
      <w:pPr>
        <w:jc w:val="both"/>
        <w:spacing w:line="360" w:lineRule="auto"/>
      </w:pPr>
      <w:r>
        <w:rPr>
          <w:rFonts w:ascii="Calibri" w:hAnsi="Calibri"/>
          <w:color w:val="1E1E2E"/>
          <w:sz w:val="24"/>
        </w:rPr>
        <w:t>Before installation, ensure the target machine meets the following minimum requirements: 8 GB RAM (16 GB recommended for running the AI transcription model), a modern multi-core CPU (Intel i5 8th generation or equivalent), and at least 10 GB of free disk space for dependencies, FAISS vector index, and model weights. The following software must be pre-installed: Node.js v20 LTS or later (with npm v10+), Python 3.11 or later, uv package manager (pip install uv), MongoDB 7.0 or later (local instance or MongoDB Atlas cloud URI), and Git for cloning the repository.</w:t>
      </w:r>
    </w:p>
    <w:p>
      <w:pPr>
        <w:spacing w:line="360" w:lineRule="auto"/>
      </w:pPr>
    </w:p>
    <w:p>
      <w:pPr>
        <w:jc w:val="left"/>
        <w:spacing w:line="360" w:lineRule="auto"/>
      </w:pPr>
      <w:r>
        <w:rPr>
          <w:rFonts w:ascii="Calibri" w:hAnsi="Calibri"/>
          <w:b/>
          <w:color w:val="0A2540"/>
          <w:sz w:val="28"/>
        </w:rPr>
        <w:t>D.1.1  Required API Keys and Environment Variables</w:t>
      </w:r>
    </w:p>
    <w:p>
      <w:pPr>
        <w:jc w:val="both"/>
        <w:spacing w:line="360" w:lineRule="auto"/>
      </w:pPr>
      <w:r>
        <w:rPr>
          <w:rFonts w:ascii="Calibri" w:hAnsi="Calibri"/>
          <w:color w:val="1E1E2E"/>
          <w:sz w:val="24"/>
        </w:rPr>
        <w:t>The following external service credentials must be obtained before deployment: GROQ_API_KEY — obtained from console.groq.com; HF_TOKEN — obtained from huggingface.co (required for downloading embedding model weights); VIDEOSDK_API_KEY and VIDEOSDK_SECRET — obtained from app.videosdk.live; JWT_SECRET and P_JWT_SECRET — user-defined random strings of at least 32 characters for signing doctor and patient JWT tokens respectively; MONGODB_URI — the MongoDB connection string. All backend variables are placed in a .env file in the BackEnd/ directory. AI service variables are placed in a .env file in the AI/ directory.</w:t>
      </w:r>
    </w:p>
    <w:p>
      <w:pPr>
        <w:spacing w:line="360" w:lineRule="auto"/>
      </w:pPr>
    </w:p>
    <w:p>
      <w:pPr>
        <w:jc w:val="left"/>
        <w:spacing w:line="360" w:lineRule="auto"/>
      </w:pPr>
      <w:r>
        <w:rPr>
          <w:rFonts w:ascii="Calibri" w:hAnsi="Calibri"/>
          <w:b/>
          <w:color w:val="0A2540"/>
          <w:sz w:val="24"/>
        </w:rPr>
        <w:t>D.1.1.1  Sample Environment File Structure</w:t>
      </w:r>
    </w:p>
    <w:p>
      <w:pPr>
        <w:jc w:val="both"/>
        <w:spacing w:line="360" w:lineRule="auto"/>
      </w:pPr>
      <w:r>
        <w:rPr>
          <w:rFonts w:ascii="Calibri" w:hAnsi="Calibri"/>
          <w:color w:val="1E1E2E"/>
          <w:sz w:val="24"/>
        </w:rPr>
        <w:t>BackEnd/.env should contain: MONGODB_URI, JWT_SECRET (maps to SecretKey), P_JWT_SECRET (maps to P_SecretKey), VIDEOSDK_API_KEY, and VIDEOSDK_SECRET. AI/.env should contain: GROQ_API_KEY and HF_TOKEN. FrontEnd/.env should contain: VITE_API_URL pointing to the backend base URL (e.g., http://localhost:4000 for development or the production HTTPS URL). Never commit .env files to version control; ensure they are listed in .gitignore.</w:t>
      </w:r>
    </w:p>
    <w:p>
      <w:pPr>
        <w:spacing w:line="360" w:lineRule="auto"/>
      </w:pPr>
    </w:p>
    <w:p>
      <w:pPr>
        <w:jc w:val="left"/>
        <w:spacing w:line="360" w:lineRule="auto"/>
      </w:pPr>
      <w:r>
        <w:rPr>
          <w:rFonts w:ascii="Calibri" w:hAnsi="Calibri"/>
          <w:b/>
          <w:color w:val="0A2540"/>
          <w:sz w:val="32"/>
        </w:rPr>
        <w:t>D.2  Backend Installation and Startup</w:t>
      </w:r>
    </w:p>
    <w:p>
      <w:pPr>
        <w:jc w:val="both"/>
        <w:spacing w:line="360" w:lineRule="auto"/>
      </w:pPr>
      <w:r>
        <w:rPr>
          <w:rFonts w:ascii="Calibri" w:hAnsi="Calibri"/>
          <w:color w:val="1E1E2E"/>
          <w:sz w:val="24"/>
        </w:rPr>
        <w:t>Clone the repository and navigate to the BackEnd/ directory. Run "npm install" to install all Express 5 and Mongoose dependencies. Ensure the MongoDB service is running and the MONGODB_URI in .env is correctly configured. Start the development server with "node index.js"; the server listens on port 4000 by default. For production, it is recommended to use a process manager such as PM2 ("pm2 start index.js --name medicare-backend") and place the backend behind an Nginx reverse proxy with TLS termination to serve HTTPS traffic on port 443.</w:t>
      </w:r>
    </w:p>
    <w:p>
      <w:pPr>
        <w:spacing w:line="360" w:lineRule="auto"/>
      </w:pPr>
    </w:p>
    <w:p>
      <w:pPr>
        <w:jc w:val="left"/>
        <w:spacing w:line="360" w:lineRule="auto"/>
      </w:pPr>
      <w:r>
        <w:rPr>
          <w:rFonts w:ascii="Calibri" w:hAnsi="Calibri"/>
          <w:b/>
          <w:color w:val="0A2540"/>
          <w:sz w:val="28"/>
        </w:rPr>
        <w:t>D.2.1  Frontend Installation and Build</w:t>
      </w:r>
    </w:p>
    <w:p>
      <w:pPr>
        <w:jc w:val="both"/>
        <w:spacing w:line="360" w:lineRule="auto"/>
      </w:pPr>
      <w:r>
        <w:rPr>
          <w:rFonts w:ascii="Calibri" w:hAnsi="Calibri"/>
          <w:color w:val="1E1E2E"/>
          <w:sz w:val="24"/>
        </w:rPr>
        <w:t>Navigate to the FrontEnd/ directory and run "npm install" to install all React 19, Vite, and TailwindCSS v4 dependencies. For development, run "npm run dev" to start the Vite development server on port 5173 with hot module replacement enabled. For production, run "npm run build" to generate an optimised static bundle in the dist/ folder. Deploy the contents of dist/ to a static file host (Nginx, Vercel, Netlify, or AWS S3 + CloudFront). Ensure VITE_API_URL in FrontEnd/.env points to the production backend HTTPS URL before running the production build.</w:t>
      </w:r>
    </w:p>
    <w:p>
      <w:pPr>
        <w:spacing w:line="360" w:lineRule="auto"/>
      </w:pPr>
    </w:p>
    <w:p>
      <w:pPr>
        <w:jc w:val="left"/>
        <w:spacing w:line="360" w:lineRule="auto"/>
      </w:pPr>
      <w:r>
        <w:rPr>
          <w:rFonts w:ascii="Calibri" w:hAnsi="Calibri"/>
          <w:b/>
          <w:color w:val="0A2540"/>
          <w:sz w:val="28"/>
        </w:rPr>
        <w:t>D.2.2  AI Service Installation and Vector Store Initialisation</w:t>
      </w:r>
    </w:p>
    <w:p>
      <w:pPr>
        <w:jc w:val="both"/>
        <w:spacing w:line="360" w:lineRule="auto"/>
      </w:pPr>
      <w:r>
        <w:rPr>
          <w:rFonts w:ascii="Calibri" w:hAnsi="Calibri"/>
          <w:color w:val="1E1E2E"/>
          <w:sz w:val="24"/>
        </w:rPr>
        <w:t>Navigate to the AI/ directory. Run "uv sync" to create a virtual environment and install all Python dependencies declared in pyproject.toml, including FastAPI, LangChain, langchain-groq, faster-whisper, and faiss-cpu. Place the five source medical PDF documents in the AI/data/ directory. Run "python create_memory_for_llm.py" to parse the PDFs, generate HuggingFace sentence-transformer embeddings, and persist the FAISS vector index at AI/vectorstore/db_faiss/. This step is required only once, or whenever the source documents change. Start the FastAPI server with "uv run uvicorn API.main:app --reload" to listen on port 8000.</w:t>
      </w:r>
    </w:p>
    <w:p>
      <w:pPr>
        <w:spacing w:line="360" w:lineRule="auto"/>
      </w:pPr>
    </w:p>
    <w:p>
      <w:pPr>
        <w:jc w:val="left"/>
        <w:spacing w:line="360" w:lineRule="auto"/>
      </w:pPr>
      <w:r>
        <w:rPr>
          <w:rFonts w:ascii="Calibri" w:hAnsi="Calibri"/>
          <w:b/>
          <w:color w:val="0A2540"/>
          <w:sz w:val="24"/>
        </w:rPr>
        <w:t>D.2.2.1  Verifying the AI Service</w:t>
      </w:r>
    </w:p>
    <w:p>
      <w:pPr>
        <w:jc w:val="both"/>
        <w:spacing w:line="360" w:lineRule="auto"/>
      </w:pPr>
      <w:r>
        <w:rPr>
          <w:rFonts w:ascii="Calibri" w:hAnsi="Calibri"/>
          <w:color w:val="1E1E2E"/>
          <w:sz w:val="24"/>
        </w:rPr>
        <w:t>After starting the FastAPI server, navigate to http://localhost:8000/docs in a browser to access the auto-generated Swagger UI. Use the /chat endpoint's "Try it out" feature to send a test message with an arbitrary session_id and a medical question. A successful response includes an "answer" field with LLM-generated text and a "sources" field listing the retrieved document passages. If the response returns a 503 error, confirm that the MedicalRAG engine initialised without errors in the console output; failures typically indicate a missing GROQ_API_KEY or an absent FAISS vector store.</w:t>
      </w:r>
    </w:p>
    <w:p>
      <w:pPr>
        <w:spacing w:line="360" w:lineRule="auto"/>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