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SPRINT 21 RUNTIME ENABLEMENT HANDOFF</w:t>
      </w:r>
    </w:p>
    <w:p>
      <w:r>
        <w:t xml:space="preserve">Continuation of PIOS Integration Candidate v1.7</w:t>
      </w:r>
    </w:p>
    <w:p>
      <w:r>
        <w:t xml:space="preserve">Turaif General Hospital - Pharmacy Intelligence Operating System</w:t>
      </w:r>
    </w:p>
    <w:p/>
    <w:p>
      <w:r>
        <w:t xml:space="preserve">This document extends PIOS_MASTER_PROJECT_HANDOFF_LATEST.docx (Integration Candidate v1.7, generated 2026-08-02T01:09:10Z). It does not replace or supersede it; the original is unmodified and remains the authoritative record of the v1.7 delivery.</w:t>
      </w:r>
    </w:p>
    <w:p>
      <w:pPr>
        <w:pStyle w:val="Heading1"/>
      </w:pPr>
      <w:r>
        <w:t xml:space="preserve">1. Executive status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shd w:fill="D9D9D9" w:val="clear"/>
          </w:tcPr>
          <w:p>
            <w:r>
              <w:rPr>
                <w:b/>
                <w:bCs/>
              </w:rPr>
              <w:t xml:space="preserve">Item</w:t>
            </w:r>
          </w:p>
        </w:tc>
        <w:tc>
          <w:tcPr>
            <w:tcW w:type="dxa" w:w="4500"/>
            <w:shd w:fill="D9D9D9" w:val="clear"/>
          </w:tcPr>
          <w:p>
            <w:r>
              <w:rPr>
                <w:b/>
                <w:bCs/>
              </w:rPr>
              <w:t xml:space="preserve">Current status</w:t>
            </w:r>
          </w:p>
        </w:tc>
      </w:tr>
      <w:tr>
        <w:tc>
          <w:tcPr>
            <w:tcW w:type="dxa" w:w="4500"/>
          </w:tcPr>
          <w:p>
            <w:r>
              <w:rPr>
                <w:b w:val="false"/>
                <w:bCs w:val="false"/>
              </w:rPr>
              <w:t xml:space="preserve">Milestone</w:t>
            </w:r>
          </w:p>
        </w:tc>
        <w:tc>
          <w:tcPr>
            <w:tcW w:type="dxa" w:w="4500"/>
          </w:tcPr>
          <w:p>
            <w:r>
              <w:rPr>
                <w:b w:val="false"/>
                <w:bCs w:val="false"/>
              </w:rPr>
              <w:t xml:space="preserve">Sprint 21 - Runtime Enablement &amp; Infrastructure Validation, Phase 1 (offline)</w:t>
            </w:r>
          </w:p>
        </w:tc>
      </w:tr>
      <w:tr>
        <w:tc>
          <w:tcPr>
            <w:tcW w:type="dxa" w:w="4500"/>
          </w:tcPr>
          <w:p>
            <w:r>
              <w:rPr>
                <w:b w:val="false"/>
                <w:bCs w:val="false"/>
              </w:rPr>
              <w:t xml:space="preserve">Baseline</w:t>
            </w:r>
          </w:p>
        </w:tc>
        <w:tc>
          <w:tcPr>
            <w:tcW w:type="dxa" w:w="4500"/>
          </w:tcPr>
          <w:p>
            <w:r>
              <w:rPr>
                <w:b w:val="false"/>
                <w:bCs w:val="false"/>
              </w:rPr>
              <w:t xml:space="preserve">Integration Candidate v1.7 (production baseline, unchanged)</w:t>
            </w:r>
          </w:p>
        </w:tc>
      </w:tr>
      <w:tr>
        <w:tc>
          <w:tcPr>
            <w:tcW w:type="dxa" w:w="4500"/>
          </w:tcPr>
          <w:p>
            <w:r>
              <w:rPr>
                <w:b w:val="false"/>
                <w:bCs w:val="false"/>
              </w:rPr>
              <w:t xml:space="preserve">Application version</w:t>
            </w:r>
          </w:p>
        </w:tc>
        <w:tc>
          <w:tcPr>
            <w:tcW w:type="dxa" w:w="4500"/>
          </w:tcPr>
          <w:p>
            <w:r>
              <w:rPr>
                <w:b w:val="false"/>
                <w:bCs w:val="false"/>
              </w:rPr>
              <w:t xml:space="preserve">Backend 1.4.0 / Frontend 1.0.0 (unchanged - no features added)</w:t>
            </w:r>
          </w:p>
        </w:tc>
      </w:tr>
      <w:tr>
        <w:tc>
          <w:tcPr>
            <w:tcW w:type="dxa" w:w="4500"/>
          </w:tcPr>
          <w:p>
            <w:r>
              <w:rPr>
                <w:b w:val="false"/>
                <w:bCs w:val="false"/>
              </w:rPr>
              <w:t xml:space="preserve">Docker / PostgreSQL / MinIO / OIDC used this phase</w:t>
            </w:r>
          </w:p>
        </w:tc>
        <w:tc>
          <w:tcPr>
            <w:tcW w:type="dxa" w:w="4500"/>
          </w:tcPr>
          <w:p>
            <w:r>
              <w:rPr>
                <w:b w:val="false"/>
                <w:bCs w:val="false"/>
              </w:rPr>
              <w:t xml:space="preserve">No</w:t>
            </w:r>
          </w:p>
        </w:tc>
      </w:tr>
      <w:tr>
        <w:tc>
          <w:tcPr>
            <w:tcW w:type="dxa" w:w="4500"/>
          </w:tcPr>
          <w:p>
            <w:r>
              <w:rPr>
                <w:b w:val="false"/>
                <w:bCs w:val="false"/>
              </w:rPr>
              <w:t xml:space="preserve">Institutional / CBAHI claim</w:t>
            </w:r>
          </w:p>
        </w:tc>
        <w:tc>
          <w:tcPr>
            <w:tcW w:type="dxa" w:w="4500"/>
          </w:tcPr>
          <w:p>
            <w:r>
              <w:rPr>
                <w:b w:val="false"/>
                <w:bCs w:val="false"/>
              </w:rPr>
              <w:t xml:space="preserve">No</w:t>
            </w:r>
          </w:p>
        </w:tc>
      </w:tr>
    </w:tbl>
    <w:p>
      <w:pPr>
        <w:pStyle w:val="Heading1"/>
      </w:pPr>
      <w:r>
        <w:t xml:space="preserve">2. Completed work (offline, no infrastructure)</w:t>
      </w:r>
    </w:p>
    <w:p>
      <w:pPr>
        <w:pStyle w:val="ListParagraph"/>
        <w:numPr>
          <w:ilvl w:val="0"/>
          <w:numId w:val="1"/>
        </w:numPr>
      </w:pPr>
      <w:r>
        <w:t xml:space="preserve">Fixed backend/pyproject.toml packaging so 'pip install -e ./backend[dev]' - the command CI already documents - actually succeeds (previously failed on setuptools 79 with a flat-layout package-discovery error).</w:t>
      </w:r>
    </w:p>
    <w:p>
      <w:pPr>
        <w:pStyle w:val="ListParagraph"/>
        <w:numPr>
          <w:ilvl w:val="0"/>
          <w:numId w:val="1"/>
        </w:numPr>
      </w:pPr>
      <w:r>
        <w:t xml:space="preserve">Fixed backend/tests/conftest.py: the test suite was writing through the app's real storage/export/backup/deployment-report/baseline-release/governance-export roots, silently mutating committed var/ evidence files on every run. All six roots are now isolated to a temp directory before the app is imported.</w:t>
      </w:r>
    </w:p>
    <w:p>
      <w:pPr>
        <w:pStyle w:val="ListParagraph"/>
        <w:numPr>
          <w:ilvl w:val="0"/>
          <w:numId w:val="1"/>
        </w:numPr>
      </w:pPr>
      <w:r>
        <w:t xml:space="preserve">Ran the full 81-test suite (70 inherited + 11 v1.7) against SQLite in an isolated environment: 81 passed, 0 failed, 0 errors, 0 skipped.</w:t>
      </w:r>
    </w:p>
    <w:p>
      <w:pPr>
        <w:pStyle w:val="ListParagraph"/>
        <w:numPr>
          <w:ilvl w:val="0"/>
          <w:numId w:val="1"/>
        </w:numPr>
      </w:pPr>
      <w:r>
        <w:t xml:space="preserve">Independently recomputed schema metrics from live SQLAlchemy metadata: 92 tables, 1,305 columns, 72 indexes, 203 foreign keys, 374 constraints - exact match to the shipped report.</w:t>
      </w:r>
    </w:p>
    <w:p>
      <w:pPr>
        <w:pStyle w:val="ListParagraph"/>
        <w:numPr>
          <w:ilvl w:val="0"/>
          <w:numId w:val="1"/>
        </w:numPr>
      </w:pPr>
      <w:r>
        <w:t xml:space="preserve">Independently recomputed the OpenAPI surface from the live FastAPI app: 191 paths, 206 operations, 178 schemas - exact match to the shipped report.</w:t>
      </w:r>
    </w:p>
    <w:p>
      <w:pPr>
        <w:pStyle w:val="ListParagraph"/>
        <w:numPr>
          <w:ilvl w:val="0"/>
          <w:numId w:val="1"/>
        </w:numPr>
      </w:pPr>
      <w:r>
        <w:t xml:space="preserve">Regenerated the SBOM offline - byte-identical to the shipped SBOM.</w:t>
      </w:r>
    </w:p>
    <w:p>
      <w:pPr>
        <w:pStyle w:val="ListParagraph"/>
        <w:numPr>
          <w:ilvl w:val="0"/>
          <w:numId w:val="1"/>
        </w:numPr>
      </w:pPr>
      <w:r>
        <w:t xml:space="preserve">Re-ran compileall and the frontend syntax/static/a11y/RTL checks - all pass.</w:t>
      </w:r>
    </w:p>
    <w:p>
      <w:pPr>
        <w:pStyle w:val="ListParagraph"/>
        <w:numPr>
          <w:ilvl w:val="0"/>
          <w:numId w:val="1"/>
        </w:numPr>
      </w:pPr>
      <w:r>
        <w:t xml:space="preserve">Corrected backend/POSTGRES_RUNTIME_CHECKLIST.md, which still referenced the Sprint 2-era baseline (0001_initial / 28 tables) despite 11 later sprints extending the schema to 92 tables.</w:t>
      </w:r>
    </w:p>
    <w:p>
      <w:pPr>
        <w:pStyle w:val="Heading1"/>
      </w:pPr>
      <w:r>
        <w:t xml:space="preserve">3. Test results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shd w:fill="D9D9D9" w:val="clear"/>
          </w:tcPr>
          <w:p>
            <w:r>
              <w:rPr>
                <w:b/>
                <w:bCs/>
              </w:rPr>
              <w:t xml:space="preserve">Check</w:t>
            </w:r>
          </w:p>
        </w:tc>
        <w:tc>
          <w:tcPr>
            <w:tcW w:type="dxa" w:w="4500"/>
            <w:shd w:fill="D9D9D9" w:val="clear"/>
          </w:tcPr>
          <w:p>
            <w:r>
              <w:rPr>
                <w:b/>
                <w:bCs/>
              </w:rPr>
              <w:t xml:space="preserve">Result</w:t>
            </w:r>
          </w:p>
        </w:tc>
      </w:tr>
      <w:tr>
        <w:tc>
          <w:tcPr>
            <w:tcW w:type="dxa" w:w="4500"/>
          </w:tcPr>
          <w:p>
            <w:r>
              <w:rPr>
                <w:b w:val="false"/>
                <w:bCs w:val="false"/>
              </w:rPr>
              <w:t xml:space="preserve">Backend test suite (SQLite, isolated)</w:t>
            </w:r>
          </w:p>
        </w:tc>
        <w:tc>
          <w:tcPr>
            <w:tcW w:type="dxa" w:w="4500"/>
          </w:tcPr>
          <w:p>
            <w:r>
              <w:rPr>
                <w:b w:val="false"/>
                <w:bCs w:val="false"/>
              </w:rPr>
              <w:t xml:space="preserve">81/81 PASS</w:t>
            </w:r>
          </w:p>
        </w:tc>
      </w:tr>
      <w:tr>
        <w:tc>
          <w:tcPr>
            <w:tcW w:type="dxa" w:w="4500"/>
          </w:tcPr>
          <w:p>
            <w:r>
              <w:rPr>
                <w:b w:val="false"/>
                <w:bCs w:val="false"/>
              </w:rPr>
              <w:t xml:space="preserve">Schema metrics vs. shipped report</w:t>
            </w:r>
          </w:p>
        </w:tc>
        <w:tc>
          <w:tcPr>
            <w:tcW w:type="dxa" w:w="4500"/>
          </w:tcPr>
          <w:p>
            <w:r>
              <w:rPr>
                <w:b w:val="false"/>
                <w:bCs w:val="false"/>
              </w:rPr>
              <w:t xml:space="preserve">Exact match</w:t>
            </w:r>
          </w:p>
        </w:tc>
      </w:tr>
      <w:tr>
        <w:tc>
          <w:tcPr>
            <w:tcW w:type="dxa" w:w="4500"/>
          </w:tcPr>
          <w:p>
            <w:r>
              <w:rPr>
                <w:b w:val="false"/>
                <w:bCs w:val="false"/>
              </w:rPr>
              <w:t xml:space="preserve">OpenAPI surface vs. shipped report</w:t>
            </w:r>
          </w:p>
        </w:tc>
        <w:tc>
          <w:tcPr>
            <w:tcW w:type="dxa" w:w="4500"/>
          </w:tcPr>
          <w:p>
            <w:r>
              <w:rPr>
                <w:b w:val="false"/>
                <w:bCs w:val="false"/>
              </w:rPr>
              <w:t xml:space="preserve">Exact match</w:t>
            </w:r>
          </w:p>
        </w:tc>
      </w:tr>
      <w:tr>
        <w:tc>
          <w:tcPr>
            <w:tcW w:type="dxa" w:w="4500"/>
          </w:tcPr>
          <w:p>
            <w:r>
              <w:rPr>
                <w:b w:val="false"/>
                <w:bCs w:val="false"/>
              </w:rPr>
              <w:t xml:space="preserve">SBOM regeneration</w:t>
            </w:r>
          </w:p>
        </w:tc>
        <w:tc>
          <w:tcPr>
            <w:tcW w:type="dxa" w:w="4500"/>
          </w:tcPr>
          <w:p>
            <w:r>
              <w:rPr>
                <w:b w:val="false"/>
                <w:bCs w:val="false"/>
              </w:rPr>
              <w:t xml:space="preserve">Byte-identical</w:t>
            </w:r>
          </w:p>
        </w:tc>
      </w:tr>
      <w:tr>
        <w:tc>
          <w:tcPr>
            <w:tcW w:type="dxa" w:w="4500"/>
          </w:tcPr>
          <w:p>
            <w:r>
              <w:rPr>
                <w:b w:val="false"/>
                <w:bCs w:val="false"/>
              </w:rPr>
              <w:t xml:space="preserve">compileall</w:t>
            </w:r>
          </w:p>
        </w:tc>
        <w:tc>
          <w:tcPr>
            <w:tcW w:type="dxa" w:w="4500"/>
          </w:tcPr>
          <w:p>
            <w:r>
              <w:rPr>
                <w:b w:val="false"/>
                <w:bCs w:val="false"/>
              </w:rPr>
              <w:t xml:space="preserve">Clean</w:t>
            </w:r>
          </w:p>
        </w:tc>
      </w:tr>
      <w:tr>
        <w:tc>
          <w:tcPr>
            <w:tcW w:type="dxa" w:w="4500"/>
          </w:tcPr>
          <w:p>
            <w:r>
              <w:rPr>
                <w:b w:val="false"/>
                <w:bCs w:val="false"/>
              </w:rPr>
              <w:t xml:space="preserve">Frontend static/syntax checks</w:t>
            </w:r>
          </w:p>
        </w:tc>
        <w:tc>
          <w:tcPr>
            <w:tcW w:type="dxa" w:w="4500"/>
          </w:tcPr>
          <w:p>
            <w:r>
              <w:rPr>
                <w:b w:val="false"/>
                <w:bCs w:val="false"/>
              </w:rPr>
              <w:t xml:space="preserve">PASS</w:t>
            </w:r>
          </w:p>
        </w:tc>
      </w:tr>
    </w:tbl>
    <w:p>
      <w:pPr>
        <w:pStyle w:val="Heading1"/>
      </w:pPr>
      <w:r>
        <w:t xml:space="preserve">4. What was not executed and why</w:t>
      </w:r>
    </w:p>
    <w:p>
      <w:r>
        <w:t xml:space="preserve">PostgreSQL 16 schema/seed import, actual live post-import counts, the 81 tests against a real PostgreSQL server, S3 API tests against real MinIO, and institutional OIDC tests were not executed in this phase. This was not a resource limitation - it was an explicit scope boundary: this phase was authorized for offline work only, and Docker/PostgreSQL/MinIO/OIDC use was explicitly excluded pending separate approval.</w:t>
      </w:r>
    </w:p>
    <w:p>
      <w:pPr>
        <w:pStyle w:val="Heading1"/>
      </w:pPr>
      <w:r>
        <w:t xml:space="preserve">5. Delivery set (this addendum)</w:t>
      </w:r>
    </w:p>
    <w:p>
      <w:pPr>
        <w:pStyle w:val="ListParagraph"/>
        <w:numPr>
          <w:ilvl w:val="0"/>
          <w:numId w:val="1"/>
        </w:numPr>
      </w:pPr>
      <w:r>
        <w:t xml:space="preserve">SPRINT21_RUNTIME_ENABLEMENT_HANDOFF.docx (this document)</w:t>
      </w:r>
    </w:p>
    <w:p>
      <w:pPr>
        <w:pStyle w:val="ListParagraph"/>
        <w:numPr>
          <w:ilvl w:val="0"/>
          <w:numId w:val="1"/>
        </w:numPr>
      </w:pPr>
      <w:r>
        <w:t xml:space="preserve">SPRINT21_RUNTIME_READINESS_REPORT.md</w:t>
      </w:r>
    </w:p>
    <w:p>
      <w:pPr>
        <w:pStyle w:val="ListParagraph"/>
        <w:numPr>
          <w:ilvl w:val="0"/>
          <w:numId w:val="1"/>
        </w:numPr>
      </w:pPr>
      <w:r>
        <w:t xml:space="preserve">SPRINT21_DELIVERY_MANIFEST.txt</w:t>
      </w:r>
    </w:p>
    <w:p>
      <w:pPr>
        <w:pStyle w:val="ListParagraph"/>
        <w:numPr>
          <w:ilvl w:val="0"/>
          <w:numId w:val="1"/>
        </w:numPr>
      </w:pPr>
      <w:r>
        <w:t xml:space="preserve">backend/SPRINT21_RUNTIME_ENABLEMENT_CHECKLIST.md</w:t>
      </w:r>
    </w:p>
    <w:p>
      <w:pPr>
        <w:pStyle w:val="ListParagraph"/>
        <w:numPr>
          <w:ilvl w:val="0"/>
          <w:numId w:val="1"/>
        </w:numPr>
      </w:pPr>
      <w:r>
        <w:t xml:space="preserve">docs/SPRINT21_RUNTIME_ENABLEMENT_RUNBOOK.md</w:t>
      </w:r>
    </w:p>
    <w:p>
      <w:pPr>
        <w:pStyle w:val="Heading1"/>
      </w:pPr>
      <w:r>
        <w:t xml:space="preserve">6. Exact continuation point</w:t>
      </w:r>
    </w:p>
    <w:p>
      <w:r>
        <w:t xml:space="preserve">Start integration_v1.7/docker-compose.integration.yml on a Docker-enabled host; apply the verified schema and seed; run verify_post_import.sql and confirm actual counts against the 92/1,305/72/203/374 baseline already confirmed at the code level in this phase; re-run the 81-test suite against live PostgreSQL; run S3 API tests against MinIO; obtain authorized institutional OIDC access and run live OIDC and site-isolation tests. None of this is started. It requires separate approval before proceeding, per instruction.</w:t>
      </w:r>
    </w:p>
    <w:p>
      <w:pPr>
        <w:pStyle w:val="Heading1"/>
      </w:pPr>
      <w:r>
        <w:t xml:space="preserve">7. Guardrail</w:t>
      </w:r>
    </w:p>
    <w:p>
      <w:r>
        <w:t xml:space="preserve">This addendum makes no institutional, production, or CBAHI-compliance claim. It documents offline verification only.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2026-08-02T04:27:03.157Z</dcterms:created>
  <dcterms:modified xsi:type="dcterms:W3CDTF">2026-08-02T04:27:03.157Z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