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alk1"/>
      </w:pPr>
      <w:r>
        <w:t>1. Veri ve Deney Kurgusu</w:t>
      </w:r>
    </w:p>
    <w:p>
      <w:pPr>
        <w:ind w:left="567"/>
        <w:jc w:val="both"/>
      </w:pPr>
      <w:r>
        <w:rPr>
          <w:b/>
        </w:rPr>
        <w:t>Taslak durumu.</w:t>
      </w:r>
      <w:r>
        <w:rPr/>
        <w:t xml:space="preserve"> Bu bölüm KYS rapor şablonu yayımlanmadan önce yazılmıştır; başlık numaralandırması geçicidir ve şablon geldiğinde yeniden düzenlenecektir. Metindeki her sayı, </w:t>
      </w:r>
      <w:r>
        <w:rPr>
          <w:i/>
        </w:rPr>
        <w:t>docs/RESULTS_LOG.md</w:t>
      </w:r>
      <w:r>
        <w:rPr/>
        <w:t xml:space="preserve"> içindeki kayıtlı bir çalıştırmaya ya da </w:t>
      </w:r>
      <w:r>
        <w:rPr>
          <w:i/>
        </w:rPr>
        <w:t>results/</w:t>
      </w:r>
      <w:r>
        <w:rPr/>
        <w:t xml:space="preserve"> altındaki bir bulgu dosyasına dayanır; kaynak, ilgili tablonun altında belirtilmiştir. Kayıtta bulunmayan hiçbir değer yazılmamıştır.</w:t>
      </w:r>
    </w:p>
    <w:p>
      <w:pPr>
        <w:pStyle w:val="Balk2"/>
      </w:pPr>
      <w:r>
        <w:t>1.1 Veri kümesi</w:t>
      </w:r>
    </w:p>
    <w:p>
      <w:pPr>
        <w:jc w:val="both"/>
      </w:pPr>
      <w:r>
        <w:rPr/>
        <w:t xml:space="preserve">Çalışmanın tek eğitim ve tanı kaynağı, OffensEval-TR 2020 Türkçe alt görevinin Çöltekin tarafından yayımlanan derlemidir. Etiket şeması ikilidir: </w:t>
      </w:r>
      <w:r>
        <w:rPr>
          <w:i/>
        </w:rPr>
        <w:t>OFF</w:t>
      </w:r>
      <w:r>
        <w:rPr/>
        <w:t xml:space="preserve"> (saldırgan) ve </w:t>
      </w:r>
      <w:r>
        <w:rPr>
          <w:i/>
        </w:rPr>
        <w:t>NOT</w:t>
      </w:r>
      <w:r>
        <w:rPr/>
        <w:t xml:space="preserve"> (saldırgan değil).</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Özellik</w:t>
            </w:r>
          </w:p>
        </w:tc>
        <w:tc>
          <w:tcPr>
            <w:tcW w:type="dxa" w:w="4536"/>
          </w:tcPr>
          <w:p>
            <w:pPr>
              <w:spacing w:after="0"/>
            </w:pPr>
            <w:r>
              <w:rPr>
                <w:b/>
              </w:rPr>
              <w:t>Değer</w:t>
            </w:r>
          </w:p>
        </w:tc>
      </w:tr>
      <w:tr>
        <w:tc>
          <w:tcPr>
            <w:tcW w:type="dxa" w:w="4536"/>
          </w:tcPr>
          <w:p>
            <w:pPr>
              <w:spacing w:after="0"/>
            </w:pPr>
            <w:r>
              <w:rPr/>
              <w:t>Dosya</w:t>
            </w:r>
          </w:p>
        </w:tc>
        <w:tc>
          <w:tcPr>
            <w:tcW w:type="dxa" w:w="4536"/>
          </w:tcPr>
          <w:p>
            <w:pPr>
              <w:spacing w:after="0"/>
            </w:pPr>
            <w:r>
              <w:rPr>
                <w:i/>
              </w:rPr>
              <w:t>offenseval-tr-training-v1.tsv</w:t>
            </w:r>
          </w:p>
        </w:tc>
      </w:tr>
      <w:tr>
        <w:tc>
          <w:tcPr>
            <w:tcW w:type="dxa" w:w="4536"/>
          </w:tcPr>
          <w:p>
            <w:pPr>
              <w:spacing w:after="0"/>
            </w:pPr>
            <w:r>
              <w:rPr/>
              <w:t>SHA-256</w:t>
            </w:r>
          </w:p>
        </w:tc>
        <w:tc>
          <w:tcPr>
            <w:tcW w:type="dxa" w:w="4536"/>
          </w:tcPr>
          <w:p>
            <w:pPr>
              <w:spacing w:after="0"/>
            </w:pPr>
            <w:r>
              <w:rPr>
                <w:i/>
              </w:rPr>
              <w:t>8509c01c4bf387d9e387c4637829585431cc045adaf7d0413c0022bf2bcd4baa</w:t>
            </w:r>
          </w:p>
        </w:tc>
      </w:tr>
      <w:tr>
        <w:tc>
          <w:tcPr>
            <w:tcW w:type="dxa" w:w="4536"/>
          </w:tcPr>
          <w:p>
            <w:pPr>
              <w:spacing w:after="0"/>
            </w:pPr>
            <w:r>
              <w:rPr/>
              <w:t>Satır sayısı</w:t>
            </w:r>
          </w:p>
        </w:tc>
        <w:tc>
          <w:tcPr>
            <w:tcW w:type="dxa" w:w="4536"/>
          </w:tcPr>
          <w:p>
            <w:pPr>
              <w:spacing w:after="0"/>
            </w:pPr>
            <w:r>
              <w:rPr/>
              <w:t>31.756</w:t>
            </w:r>
          </w:p>
        </w:tc>
      </w:tr>
      <w:tr>
        <w:tc>
          <w:tcPr>
            <w:tcW w:type="dxa" w:w="4536"/>
          </w:tcPr>
          <w:p>
            <w:pPr>
              <w:spacing w:after="0"/>
            </w:pPr>
            <w:r>
              <w:rPr>
                <w:i/>
              </w:rPr>
              <w:t>NOT</w:t>
            </w:r>
          </w:p>
        </w:tc>
        <w:tc>
          <w:tcPr>
            <w:tcW w:type="dxa" w:w="4536"/>
          </w:tcPr>
          <w:p>
            <w:pPr>
              <w:spacing w:after="0"/>
            </w:pPr>
            <w:r>
              <w:rPr/>
              <w:t>25.625 (%80,7)</w:t>
            </w:r>
          </w:p>
        </w:tc>
      </w:tr>
      <w:tr>
        <w:tc>
          <w:tcPr>
            <w:tcW w:type="dxa" w:w="4536"/>
          </w:tcPr>
          <w:p>
            <w:pPr>
              <w:spacing w:after="0"/>
            </w:pPr>
            <w:r>
              <w:rPr>
                <w:i/>
              </w:rPr>
              <w:t>OFF</w:t>
            </w:r>
          </w:p>
        </w:tc>
        <w:tc>
          <w:tcPr>
            <w:tcW w:type="dxa" w:w="4536"/>
          </w:tcPr>
          <w:p>
            <w:pPr>
              <w:spacing w:after="0"/>
            </w:pPr>
            <w:r>
              <w:rPr/>
              <w:t>6.131 (%19,3)</w:t>
            </w:r>
          </w:p>
        </w:tc>
      </w:tr>
    </w:tbl>
    <w:p>
      <w:pPr>
        <w:jc w:val="both"/>
      </w:pPr>
      <w:r>
        <w:rPr>
          <w:i/>
        </w:rPr>
        <w:t xml:space="preserve">Kaynak: </w:t>
      </w:r>
      <w:r>
        <w:rPr>
          <w:i/>
        </w:rPr>
        <w:t>results/day1_report.json</w:t>
      </w:r>
      <w:r>
        <w:rPr>
          <w:i/>
        </w:rPr>
        <w:t xml:space="preserve"> (dondurulma zamanı 2026-08-14T14:43:33).</w:t>
      </w:r>
    </w:p>
    <w:p>
      <w:pPr>
        <w:jc w:val="both"/>
      </w:pPr>
      <w:r>
        <w:rPr/>
        <w:t>Derlemin okunması yüzeysel göründüğü kadar basit değildir ve bu, sonraki bütün sayıları etkileyen bir ayrıntıdır. Dosya tırnaklanmamış TSV biçimindedir ve metin alanlarında gömülü satır sonları üç boşlukla değiştirilmiştir; standart bir CSV okuyucusu bu dosyayı sessizce yanlış ayrıştırır ve satır sayısını değiştirir. Bu nedenle okuma işlemi elle sekme ayrıştırmasıyla yapılmakta (</w:t>
      </w:r>
      <w:r>
        <w:rPr>
          <w:i/>
        </w:rPr>
        <w:t>src/data_io.py</w:t>
      </w:r>
      <w:r>
        <w:rPr/>
        <w:t>), sonuç ise derlemin SHA-256 özetiyle birlikte kayıt altına alınmaktadır: raporlanan her sayı, hangi baytlar üzerinde ölçüldüğünü kanıtlayabilir durumdadır.</w:t>
      </w:r>
    </w:p>
    <w:p>
      <w:pPr>
        <w:jc w:val="both"/>
      </w:pPr>
      <w:r>
        <w:rPr/>
        <w:t>Bu okuma yolunun kararlılığı ayrıca doğrulanmıştır: Gün 1'de dondurulan 16 alanın tamamı, bağımsız bir yeniden çalıştırmada birebir yeniden üretilmiştir (</w:t>
      </w:r>
      <w:r>
        <w:rPr>
          <w:i/>
        </w:rPr>
        <w:t>results/day1_report_rerun.json</w:t>
      </w:r>
      <w:r>
        <w:rPr/>
        <w:t xml:space="preserve">; </w:t>
      </w:r>
      <w:r>
        <w:rPr>
          <w:i/>
        </w:rPr>
        <w:t>docs/RESULTS_LOG.md</w:t>
      </w:r>
      <w:r>
        <w:rPr/>
        <w:t>, 2026-08-15 "Day 1 reproduction check" satırı).</w:t>
      </w:r>
    </w:p>
    <w:p>
      <w:pPr>
        <w:pStyle w:val="Balk2"/>
      </w:pPr>
      <w:r>
        <w:t>1.2 Dondurulmuş sözlük ve eşleşme kuralı</w:t>
      </w:r>
    </w:p>
    <w:p>
      <w:pPr>
        <w:jc w:val="both"/>
      </w:pPr>
      <w:r>
        <w:rPr/>
        <w:t xml:space="preserve">Karşılaştırmanın temel çizgisi olan anahtar kelime süzgeci, ölçüm yapılmadan </w:t>
      </w:r>
      <w:r>
        <w:rPr>
          <w:b/>
        </w:rPr>
        <w:t>önce</w:t>
      </w:r>
      <w:r>
        <w:rPr/>
        <w:t xml:space="preserve"> dondurulmuş bir küfür/hakaret sözlüğüne dayanır. Sözlük, sonuçlar görüldükten sonra hiçbir aşamada değiştirilmemiştir.</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Özellik</w:t>
            </w:r>
          </w:p>
        </w:tc>
        <w:tc>
          <w:tcPr>
            <w:tcW w:type="dxa" w:w="4536"/>
          </w:tcPr>
          <w:p>
            <w:pPr>
              <w:spacing w:after="0"/>
            </w:pPr>
            <w:r>
              <w:rPr>
                <w:b/>
              </w:rPr>
              <w:t>Değer</w:t>
            </w:r>
          </w:p>
        </w:tc>
      </w:tr>
      <w:tr>
        <w:tc>
          <w:tcPr>
            <w:tcW w:type="dxa" w:w="4536"/>
          </w:tcPr>
          <w:p>
            <w:pPr>
              <w:spacing w:after="0"/>
            </w:pPr>
            <w:r>
              <w:rPr/>
              <w:t>Dosya</w:t>
            </w:r>
          </w:p>
        </w:tc>
        <w:tc>
          <w:tcPr>
            <w:tcW w:type="dxa" w:w="4536"/>
          </w:tcPr>
          <w:p>
            <w:pPr>
              <w:spacing w:after="0"/>
            </w:pPr>
            <w:r>
              <w:rPr>
                <w:i/>
              </w:rPr>
              <w:t>karaliste.txt</w:t>
            </w:r>
          </w:p>
        </w:tc>
      </w:tr>
      <w:tr>
        <w:tc>
          <w:tcPr>
            <w:tcW w:type="dxa" w:w="4536"/>
          </w:tcPr>
          <w:p>
            <w:pPr>
              <w:spacing w:after="0"/>
            </w:pPr>
            <w:r>
              <w:rPr/>
              <w:t>SHA-256</w:t>
            </w:r>
          </w:p>
        </w:tc>
        <w:tc>
          <w:tcPr>
            <w:tcW w:type="dxa" w:w="4536"/>
          </w:tcPr>
          <w:p>
            <w:pPr>
              <w:spacing w:after="0"/>
            </w:pPr>
            <w:r>
              <w:rPr>
                <w:i/>
              </w:rPr>
              <w:t>0f5a05f52c414e07be8d67b1010979a901a974f573c7d47430f3cb5d3eace20b</w:t>
            </w:r>
          </w:p>
        </w:tc>
      </w:tr>
      <w:tr>
        <w:tc>
          <w:tcPr>
            <w:tcW w:type="dxa" w:w="4536"/>
          </w:tcPr>
          <w:p>
            <w:pPr>
              <w:spacing w:after="0"/>
            </w:pPr>
            <w:r>
              <w:rPr/>
              <w:t>Girdi sayısı</w:t>
            </w:r>
          </w:p>
        </w:tc>
        <w:tc>
          <w:tcPr>
            <w:tcW w:type="dxa" w:w="4536"/>
          </w:tcPr>
          <w:p>
            <w:pPr>
              <w:spacing w:after="0"/>
            </w:pPr>
            <w:r>
              <w:rPr/>
              <w:t>695</w:t>
            </w:r>
          </w:p>
        </w:tc>
      </w:tr>
    </w:tbl>
    <w:p>
      <w:pPr>
        <w:jc w:val="both"/>
      </w:pPr>
      <w:r>
        <w:rPr>
          <w:i/>
        </w:rPr>
        <w:t xml:space="preserve">Kaynak: </w:t>
      </w:r>
      <w:r>
        <w:rPr>
          <w:i/>
        </w:rPr>
        <w:t>results/day1_report.json</w:t>
      </w:r>
      <w:r>
        <w:rPr>
          <w:i/>
        </w:rPr>
        <w:t>.</w:t>
      </w:r>
    </w:p>
    <w:p>
      <w:pPr>
        <w:jc w:val="both"/>
      </w:pPr>
      <w:r>
        <w:rPr/>
        <w:t xml:space="preserve">Türkçe sondan eklemeli bir dil olduğu için, birebir kelime eşleşmesi sözlüğün kapsamını sistematik biçimde olduğundan düşük gösterir. Bu nedenle </w:t>
      </w:r>
      <w:r>
        <w:rPr>
          <w:b/>
        </w:rPr>
        <w:t>kök eşleşmesi</w:t>
      </w:r>
      <w:r>
        <w:rPr/>
        <w:t xml:space="preserve"> (</w:t>
      </w:r>
      <w:r>
        <w:rPr>
          <w:i/>
        </w:rPr>
        <w:t>hit_root</w:t>
      </w:r>
      <w:r>
        <w:rPr/>
        <w:t>) benimsenmiştir: bir belirteç, sözlükteki en az üç karakterlik bir girdiyle başlıyorsa eşleşme sayılır. Türkçeye özgü küçük harfe çevirme kuralları (</w:t>
      </w:r>
      <w:r>
        <w:rPr>
          <w:i/>
        </w:rPr>
        <w:t>I→ı</w:t>
      </w:r>
      <w:r>
        <w:rPr/>
        <w:t xml:space="preserve">, </w:t>
      </w:r>
      <w:r>
        <w:rPr>
          <w:i/>
        </w:rPr>
        <w:t>İ→i</w:t>
      </w:r>
      <w:r>
        <w:rPr/>
        <w:t>) uygulanır.</w:t>
      </w:r>
    </w:p>
    <w:p>
      <w:pPr>
        <w:jc w:val="both"/>
      </w:pPr>
      <w:r>
        <w:rPr/>
        <w:t xml:space="preserve">Bu tercihin yönü önemlidir ve dürüstlük gereği açıkça belirtilmelidir: kök eşleşmesi, birebir eşleşmeye kıyasla sözlüğü </w:t>
      </w:r>
      <w:r>
        <w:rPr>
          <w:b/>
        </w:rPr>
        <w:t>daha güçlü</w:t>
      </w:r>
      <w:r>
        <w:rPr/>
        <w:t xml:space="preserve"> kılar, dolayısıyla sözlüksüz dilimi küçültür ve çalışmanın kendi savını zayıflatır. Daha zayıf olan birebir eşleşme seçilseydi, raporlanan boşluk daha büyük görünecekti.</w:t>
      </w:r>
    </w:p>
    <w:tbl>
      <w:tblPr>
        <w:tblStyle w:val="TableNormal"/>
        <w:tblW w:type="auto" w:w="0"/>
        <w:jc w:val="left"/>
        <w:tblLayout w:type="autofit"/>
        <w:tblLook w:firstColumn="1" w:firstRow="1" w:lastColumn="0" w:lastRow="0" w:noHBand="0" w:noVBand="1" w:val="04A0"/>
      </w:tblPr>
      <w:tblGrid>
        <w:gridCol w:w="3024"/>
        <w:gridCol w:w="3024"/>
        <w:gridCol w:w="3024"/>
      </w:tblGrid>
      <w:tr>
        <w:tc>
          <w:tcPr>
            <w:tcW w:type="dxa" w:w="3024"/>
          </w:tcPr>
          <w:p>
            <w:pPr>
              <w:spacing w:after="0"/>
            </w:pPr>
            <w:r>
              <w:rPr>
                <w:b/>
              </w:rPr>
              <w:t>Eşleşme tanımı</w:t>
            </w:r>
          </w:p>
        </w:tc>
        <w:tc>
          <w:tcPr>
            <w:tcW w:type="dxa" w:w="3024"/>
          </w:tcPr>
          <w:p>
            <w:pPr>
              <w:spacing w:after="0"/>
            </w:pPr>
            <w:r>
              <w:rPr>
                <w:b/>
              </w:rPr>
              <w:t xml:space="preserve">Sözlüğün yakaladığı </w:t>
            </w:r>
            <w:r>
              <w:rPr>
                <w:b/>
                <w:i/>
              </w:rPr>
              <w:t>OFF</w:t>
            </w:r>
          </w:p>
        </w:tc>
        <w:tc>
          <w:tcPr>
            <w:tcW w:type="dxa" w:w="3024"/>
          </w:tcPr>
          <w:p>
            <w:pPr>
              <w:spacing w:after="0"/>
            </w:pPr>
            <w:r>
              <w:rPr>
                <w:b/>
              </w:rPr>
              <w:t xml:space="preserve">Sözlüğün kaçırdığı </w:t>
            </w:r>
            <w:r>
              <w:rPr>
                <w:b/>
                <w:i/>
              </w:rPr>
              <w:t>OFF</w:t>
            </w:r>
          </w:p>
        </w:tc>
      </w:tr>
      <w:tr>
        <w:tc>
          <w:tcPr>
            <w:tcW w:type="dxa" w:w="3024"/>
          </w:tcPr>
          <w:p>
            <w:pPr>
              <w:spacing w:after="0"/>
            </w:pPr>
            <w:r>
              <w:rPr/>
              <w:t>Birebir eşleşme</w:t>
            </w:r>
          </w:p>
        </w:tc>
        <w:tc>
          <w:tcPr>
            <w:tcW w:type="dxa" w:w="3024"/>
          </w:tcPr>
          <w:p>
            <w:pPr>
              <w:spacing w:after="0"/>
            </w:pPr>
            <w:r>
              <w:rPr/>
              <w:t>1.787</w:t>
            </w:r>
          </w:p>
        </w:tc>
        <w:tc>
          <w:tcPr>
            <w:tcW w:type="dxa" w:w="3024"/>
          </w:tcPr>
          <w:p>
            <w:pPr>
              <w:spacing w:after="0"/>
            </w:pPr>
            <w:r>
              <w:rPr/>
              <w:t>4.344</w:t>
            </w:r>
          </w:p>
        </w:tc>
      </w:tr>
      <w:tr>
        <w:tc>
          <w:tcPr>
            <w:tcW w:type="dxa" w:w="3024"/>
          </w:tcPr>
          <w:p>
            <w:pPr>
              <w:spacing w:after="0"/>
            </w:pPr>
            <w:r>
              <w:rPr>
                <w:b/>
              </w:rPr>
              <w:t>Kök eşleşmesi (benimsenen)</w:t>
            </w:r>
          </w:p>
        </w:tc>
        <w:tc>
          <w:tcPr>
            <w:tcW w:type="dxa" w:w="3024"/>
          </w:tcPr>
          <w:p>
            <w:pPr>
              <w:spacing w:after="0"/>
            </w:pPr>
            <w:r>
              <w:rPr>
                <w:b/>
              </w:rPr>
              <w:t>2.239</w:t>
            </w:r>
          </w:p>
        </w:tc>
        <w:tc>
          <w:tcPr>
            <w:tcW w:type="dxa" w:w="3024"/>
          </w:tcPr>
          <w:p>
            <w:pPr>
              <w:spacing w:after="0"/>
            </w:pPr>
            <w:r>
              <w:rPr>
                <w:b/>
              </w:rPr>
              <w:t>3.892</w:t>
            </w:r>
          </w:p>
        </w:tc>
      </w:tr>
    </w:tbl>
    <w:p>
      <w:pPr>
        <w:jc w:val="both"/>
      </w:pPr>
      <w:r>
        <w:rPr>
          <w:i/>
        </w:rPr>
        <w:t xml:space="preserve">Kaynak: </w:t>
      </w:r>
      <w:r>
        <w:rPr>
          <w:i/>
        </w:rPr>
        <w:t>results/day1_report.json</w:t>
      </w:r>
      <w:r>
        <w:rPr>
          <w:i/>
        </w:rPr>
        <w:t xml:space="preserve">; ayrıca </w:t>
      </w:r>
      <w:r>
        <w:rPr>
          <w:i/>
        </w:rPr>
        <w:t>results/01_baseline_berturk/metrics.json</w:t>
      </w:r>
      <w:r>
        <w:rPr>
          <w:i/>
        </w:rPr>
        <w:t xml:space="preserve"> içindeki </w:t>
      </w:r>
      <w:r>
        <w:rPr>
          <w:i/>
        </w:rPr>
        <w:t>sanity_gate</w:t>
      </w:r>
      <w:r>
        <w:rPr>
          <w:i/>
        </w:rPr>
        <w:t xml:space="preserve"> bloğu bu iki sayıyı (3.892 / 6.131) her çalıştırmada yeniden doğrular ve uyuşmazlık halinde çalıştırmayı durdurur.</w:t>
      </w:r>
    </w:p>
    <w:p>
      <w:pPr>
        <w:jc w:val="both"/>
      </w:pPr>
      <w:r>
        <w:rPr/>
        <w:t xml:space="preserve">Çekim eklerinin getirdiği kazanç 452 örnektir. Nihai tablo şudur: </w:t>
      </w:r>
      <w:r>
        <w:rPr>
          <w:b/>
        </w:rPr>
        <w:t>6.131 saldırgan iletinin 3.892'si (%63,5) hiçbir sözlük köküyle eşleşmez.</w:t>
      </w:r>
      <w:r>
        <w:rPr/>
        <w:t xml:space="preserve"> Bu sayı, çalışmanın çıkış noktasıdır ve bir modelin değil, süzgecin özelliğidir.</w:t>
      </w:r>
    </w:p>
    <w:p>
      <w:pPr>
        <w:pStyle w:val="Balk2"/>
      </w:pPr>
      <w:r>
        <w:t>1.3 Eğitim / geliştirme ayrımı</w:t>
      </w:r>
    </w:p>
    <w:p>
      <w:pPr>
        <w:jc w:val="both"/>
      </w:pPr>
      <w:r>
        <w:rPr/>
        <w:t>Derlem, etikete göre tabakalı biçimde ve sabit tohumla bölünmüştür. Bölünme bir kez üretilmiş, dosyaya yazılmış ve sonrasında yalnızca okunmuştur; her sonraki aşama aynı dosyayı yeniden kullanır.</w:t>
      </w:r>
    </w:p>
    <w:tbl>
      <w:tblPr>
        <w:tblStyle w:val="TableNormal"/>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tcPr>
          <w:p>
            <w:pPr>
              <w:spacing w:after="0"/>
            </w:pPr>
          </w:p>
        </w:tc>
        <w:tc>
          <w:tcPr>
            <w:tcW w:type="dxa" w:w="1814"/>
          </w:tcPr>
          <w:p>
            <w:pPr>
              <w:spacing w:after="0"/>
            </w:pPr>
            <w:r>
              <w:rPr>
                <w:b/>
              </w:rPr>
              <w:t>Toplam</w:t>
            </w:r>
          </w:p>
        </w:tc>
        <w:tc>
          <w:tcPr>
            <w:tcW w:type="dxa" w:w="1814"/>
          </w:tcPr>
          <w:p>
            <w:pPr>
              <w:spacing w:after="0"/>
            </w:pPr>
            <w:r>
              <w:rPr>
                <w:b/>
                <w:i/>
              </w:rPr>
              <w:t>NOT</w:t>
            </w:r>
          </w:p>
        </w:tc>
        <w:tc>
          <w:tcPr>
            <w:tcW w:type="dxa" w:w="1814"/>
          </w:tcPr>
          <w:p>
            <w:pPr>
              <w:spacing w:after="0"/>
            </w:pPr>
            <w:r>
              <w:rPr>
                <w:b/>
                <w:i/>
              </w:rPr>
              <w:t>OFF</w:t>
            </w:r>
          </w:p>
        </w:tc>
        <w:tc>
          <w:tcPr>
            <w:tcW w:type="dxa" w:w="1814"/>
          </w:tcPr>
          <w:p>
            <w:pPr>
              <w:spacing w:after="0"/>
            </w:pPr>
            <w:r>
              <w:rPr>
                <w:b/>
                <w:i/>
              </w:rPr>
              <w:t>OFF</w:t>
            </w:r>
            <w:r>
              <w:rPr>
                <w:b/>
              </w:rPr>
              <w:t xml:space="preserve"> oranı</w:t>
            </w:r>
          </w:p>
        </w:tc>
      </w:tr>
      <w:tr>
        <w:tc>
          <w:tcPr>
            <w:tcW w:type="dxa" w:w="1814"/>
          </w:tcPr>
          <w:p>
            <w:pPr>
              <w:spacing w:after="0"/>
            </w:pPr>
            <w:r>
              <w:rPr/>
              <w:t>Eğitim</w:t>
            </w:r>
          </w:p>
        </w:tc>
        <w:tc>
          <w:tcPr>
            <w:tcW w:type="dxa" w:w="1814"/>
          </w:tcPr>
          <w:p>
            <w:pPr>
              <w:spacing w:after="0"/>
            </w:pPr>
            <w:r>
              <w:rPr/>
              <w:t>26.992</w:t>
            </w:r>
          </w:p>
        </w:tc>
        <w:tc>
          <w:tcPr>
            <w:tcW w:type="dxa" w:w="1814"/>
          </w:tcPr>
          <w:p>
            <w:pPr>
              <w:spacing w:after="0"/>
            </w:pPr>
            <w:r>
              <w:rPr/>
              <w:t>21.781</w:t>
            </w:r>
          </w:p>
        </w:tc>
        <w:tc>
          <w:tcPr>
            <w:tcW w:type="dxa" w:w="1814"/>
          </w:tcPr>
          <w:p>
            <w:pPr>
              <w:spacing w:after="0"/>
            </w:pPr>
            <w:r>
              <w:rPr/>
              <w:t>5.211</w:t>
            </w:r>
          </w:p>
        </w:tc>
        <w:tc>
          <w:tcPr>
            <w:tcW w:type="dxa" w:w="1814"/>
          </w:tcPr>
          <w:p>
            <w:pPr>
              <w:spacing w:after="0"/>
            </w:pPr>
            <w:r>
              <w:rPr/>
              <w:t>%19,3</w:t>
            </w:r>
          </w:p>
        </w:tc>
      </w:tr>
      <w:tr>
        <w:tc>
          <w:tcPr>
            <w:tcW w:type="dxa" w:w="1814"/>
          </w:tcPr>
          <w:p>
            <w:pPr>
              <w:spacing w:after="0"/>
            </w:pPr>
            <w:r>
              <w:rPr/>
              <w:t>Geliştirme (dev)</w:t>
            </w:r>
          </w:p>
        </w:tc>
        <w:tc>
          <w:tcPr>
            <w:tcW w:type="dxa" w:w="1814"/>
          </w:tcPr>
          <w:p>
            <w:pPr>
              <w:spacing w:after="0"/>
            </w:pPr>
            <w:r>
              <w:rPr/>
              <w:t>4.764</w:t>
            </w:r>
          </w:p>
        </w:tc>
        <w:tc>
          <w:tcPr>
            <w:tcW w:type="dxa" w:w="1814"/>
          </w:tcPr>
          <w:p>
            <w:pPr>
              <w:spacing w:after="0"/>
            </w:pPr>
            <w:r>
              <w:rPr/>
              <w:t>3.844</w:t>
            </w:r>
          </w:p>
        </w:tc>
        <w:tc>
          <w:tcPr>
            <w:tcW w:type="dxa" w:w="1814"/>
          </w:tcPr>
          <w:p>
            <w:pPr>
              <w:spacing w:after="0"/>
            </w:pPr>
            <w:r>
              <w:rPr/>
              <w:t>920</w:t>
            </w:r>
          </w:p>
        </w:tc>
        <w:tc>
          <w:tcPr>
            <w:tcW w:type="dxa" w:w="1814"/>
          </w:tcPr>
          <w:p>
            <w:pPr>
              <w:spacing w:after="0"/>
            </w:pPr>
            <w:r>
              <w:rPr/>
              <w:t>%19,3</w:t>
            </w:r>
          </w:p>
        </w:tc>
      </w:tr>
      <w:tr>
        <w:tc>
          <w:tcPr>
            <w:tcW w:type="dxa" w:w="1814"/>
          </w:tcPr>
          <w:p>
            <w:pPr>
              <w:spacing w:after="0"/>
            </w:pPr>
            <w:r>
              <w:rPr>
                <w:b/>
              </w:rPr>
              <w:t>Toplam</w:t>
            </w:r>
          </w:p>
        </w:tc>
        <w:tc>
          <w:tcPr>
            <w:tcW w:type="dxa" w:w="1814"/>
          </w:tcPr>
          <w:p>
            <w:pPr>
              <w:spacing w:after="0"/>
            </w:pPr>
            <w:r>
              <w:rPr>
                <w:b/>
              </w:rPr>
              <w:t>31.756</w:t>
            </w:r>
          </w:p>
        </w:tc>
        <w:tc>
          <w:tcPr>
            <w:tcW w:type="dxa" w:w="1814"/>
          </w:tcPr>
          <w:p>
            <w:pPr>
              <w:spacing w:after="0"/>
            </w:pPr>
            <w:r>
              <w:rPr>
                <w:b/>
              </w:rPr>
              <w:t>25.625</w:t>
            </w:r>
          </w:p>
        </w:tc>
        <w:tc>
          <w:tcPr>
            <w:tcW w:type="dxa" w:w="1814"/>
          </w:tcPr>
          <w:p>
            <w:pPr>
              <w:spacing w:after="0"/>
            </w:pPr>
            <w:r>
              <w:rPr>
                <w:b/>
              </w:rPr>
              <w:t>6.131</w:t>
            </w:r>
          </w:p>
        </w:tc>
        <w:tc>
          <w:tcPr>
            <w:tcW w:type="dxa" w:w="1814"/>
          </w:tcPr>
          <w:p>
            <w:pPr>
              <w:spacing w:after="0"/>
            </w:pPr>
            <w:r>
              <w:rPr>
                <w:b/>
              </w:rPr>
              <w:t>%19,3</w:t>
            </w:r>
          </w:p>
        </w:tc>
      </w:tr>
    </w:tbl>
    <w:p>
      <w:pPr>
        <w:jc w:val="both"/>
      </w:pPr>
      <w:r>
        <w:rPr>
          <w:i/>
        </w:rPr>
        <w:t xml:space="preserve">Kaynak: </w:t>
      </w:r>
      <w:r>
        <w:rPr>
          <w:i/>
        </w:rPr>
        <w:t>data/splits/split_seed42.json</w:t>
      </w:r>
      <w:r>
        <w:rPr>
          <w:i/>
        </w:rPr>
        <w:t xml:space="preserve"> (oluşturulma: 2026-08-15T15:02:14, tohum 42, geliştirme oranı 0,15).</w:t>
      </w:r>
    </w:p>
    <w:p>
      <w:pPr>
        <w:jc w:val="both"/>
      </w:pPr>
      <w:r>
        <w:rPr/>
        <w:t xml:space="preserve">Bölünmenin kimliği bir </w:t>
      </w:r>
      <w:r>
        <w:rPr>
          <w:b/>
        </w:rPr>
        <w:t>parmak izi</w:t>
      </w:r>
      <w:r>
        <w:rPr/>
        <w:t xml:space="preserve"> ile sabitlenmiştir: geliştirme kümesindeki satır kimliklerinin sıralanmış listesinin SHA-256 özeti, </w:t>
      </w:r>
      <w:r>
        <w:rPr>
          <w:i/>
        </w:rPr>
        <w:t>034415af3a23b388…</w:t>
      </w:r>
      <w:r>
        <w:rPr/>
        <w:t>. Bu değer üretilen her sonuç dosyasına yazılır. Amacı şudur: iki sonuç dosyası birbiriyle çeliştiğinde, bunların aynı örnekler üzerinde ölçülüp ölçülmediği tartışma konusu olmaktan çıkar. Kalibrasyon ve savunma aşamalarının sürücüleri, parmak izi beklenen değerden farklıysa çalışmayı başlatmadan durur.</w:t>
      </w:r>
    </w:p>
    <w:p>
      <w:pPr>
        <w:jc w:val="both"/>
      </w:pPr>
      <w:r>
        <w:rPr/>
        <w:t>Bölünme dosyası, ham derlemin aksine, sürüm denetimine dâhil edilmiştir. Gerekçe pratiktir: dosya yalnızca satır kimliklerini içerir, kişisel veri taşımaz ve kodla birlikte taşınması gerekir; aksi hâlde uzak bir çalışma ortamında depo klonlandığında bölünme yeniden üretilir ve sessizce farklı bir geliştirme kümesi oluşabilirdi.</w:t>
      </w:r>
    </w:p>
    <w:p>
      <w:pPr>
        <w:pStyle w:val="Balk2"/>
      </w:pPr>
      <w:r>
        <w:t>1.4 Dilimleme</w:t>
      </w:r>
    </w:p>
    <w:p>
      <w:pPr>
        <w:jc w:val="both"/>
      </w:pPr>
      <w:r>
        <w:rPr/>
        <w:t>Çalışmanın merkezî ölçümü, geliştirme kümesinin sözlüğe göre ikiye ayrılmasına dayanır. Dilim etiketi, §1.2'deki dondurulmuş eşleştiriciyle, model çıktısından tamamen bağımsız olarak atanır.</w:t>
      </w:r>
    </w:p>
    <w:tbl>
      <w:tblPr>
        <w:tblStyle w:val="TableNormal"/>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tcPr>
          <w:p>
            <w:pPr>
              <w:spacing w:after="0"/>
            </w:pPr>
            <w:r>
              <w:rPr>
                <w:b/>
              </w:rPr>
              <w:t>Dilim</w:t>
            </w:r>
          </w:p>
        </w:tc>
        <w:tc>
          <w:tcPr>
            <w:tcW w:type="dxa" w:w="1814"/>
          </w:tcPr>
          <w:p>
            <w:pPr>
              <w:spacing w:after="0"/>
            </w:pPr>
            <w:r>
              <w:rPr>
                <w:b/>
              </w:rPr>
              <w:t>Satır</w:t>
            </w:r>
          </w:p>
        </w:tc>
        <w:tc>
          <w:tcPr>
            <w:tcW w:type="dxa" w:w="1814"/>
          </w:tcPr>
          <w:p>
            <w:pPr>
              <w:spacing w:after="0"/>
            </w:pPr>
            <w:r>
              <w:rPr>
                <w:b/>
                <w:i/>
              </w:rPr>
              <w:t>OFF</w:t>
            </w:r>
          </w:p>
        </w:tc>
        <w:tc>
          <w:tcPr>
            <w:tcW w:type="dxa" w:w="1814"/>
          </w:tcPr>
          <w:p>
            <w:pPr>
              <w:spacing w:after="0"/>
            </w:pPr>
            <w:r>
              <w:rPr>
                <w:b/>
                <w:i/>
              </w:rPr>
              <w:t>NOT</w:t>
            </w:r>
          </w:p>
        </w:tc>
        <w:tc>
          <w:tcPr>
            <w:tcW w:type="dxa" w:w="1814"/>
          </w:tcPr>
          <w:p>
            <w:pPr>
              <w:spacing w:after="0"/>
            </w:pPr>
            <w:r>
              <w:rPr>
                <w:b/>
                <w:i/>
              </w:rPr>
              <w:t>OFF</w:t>
            </w:r>
            <w:r>
              <w:rPr>
                <w:b/>
              </w:rPr>
              <w:t xml:space="preserve"> taban oranı</w:t>
            </w:r>
          </w:p>
        </w:tc>
      </w:tr>
      <w:tr>
        <w:tc>
          <w:tcPr>
            <w:tcW w:type="dxa" w:w="1814"/>
          </w:tcPr>
          <w:p>
            <w:pPr>
              <w:spacing w:after="0"/>
            </w:pPr>
            <w:r>
              <w:rPr>
                <w:i/>
              </w:rPr>
              <w:t>lexicon_hit</w:t>
            </w:r>
          </w:p>
        </w:tc>
        <w:tc>
          <w:tcPr>
            <w:tcW w:type="dxa" w:w="1814"/>
          </w:tcPr>
          <w:p>
            <w:pPr>
              <w:spacing w:after="0"/>
            </w:pPr>
            <w:r>
              <w:rPr/>
              <w:t>614</w:t>
            </w:r>
          </w:p>
        </w:tc>
        <w:tc>
          <w:tcPr>
            <w:tcW w:type="dxa" w:w="1814"/>
          </w:tcPr>
          <w:p>
            <w:pPr>
              <w:spacing w:after="0"/>
            </w:pPr>
            <w:r>
              <w:rPr/>
              <w:t>355</w:t>
            </w:r>
          </w:p>
        </w:tc>
        <w:tc>
          <w:tcPr>
            <w:tcW w:type="dxa" w:w="1814"/>
          </w:tcPr>
          <w:p>
            <w:pPr>
              <w:spacing w:after="0"/>
            </w:pPr>
            <w:r>
              <w:rPr/>
              <w:t>259</w:t>
            </w:r>
          </w:p>
        </w:tc>
        <w:tc>
          <w:tcPr>
            <w:tcW w:type="dxa" w:w="1814"/>
          </w:tcPr>
          <w:p>
            <w:pPr>
              <w:spacing w:after="0"/>
            </w:pPr>
            <w:r>
              <w:rPr/>
              <w:t>%57,8</w:t>
            </w:r>
          </w:p>
        </w:tc>
      </w:tr>
      <w:tr>
        <w:tc>
          <w:tcPr>
            <w:tcW w:type="dxa" w:w="1814"/>
          </w:tcPr>
          <w:p>
            <w:pPr>
              <w:spacing w:after="0"/>
            </w:pPr>
            <w:r>
              <w:rPr>
                <w:i/>
              </w:rPr>
              <w:t>lexicon_free</w:t>
            </w:r>
          </w:p>
        </w:tc>
        <w:tc>
          <w:tcPr>
            <w:tcW w:type="dxa" w:w="1814"/>
          </w:tcPr>
          <w:p>
            <w:pPr>
              <w:spacing w:after="0"/>
            </w:pPr>
            <w:r>
              <w:rPr/>
              <w:t>4.150</w:t>
            </w:r>
          </w:p>
        </w:tc>
        <w:tc>
          <w:tcPr>
            <w:tcW w:type="dxa" w:w="1814"/>
          </w:tcPr>
          <w:p>
            <w:pPr>
              <w:spacing w:after="0"/>
            </w:pPr>
            <w:r>
              <w:rPr/>
              <w:t>565</w:t>
            </w:r>
          </w:p>
        </w:tc>
        <w:tc>
          <w:tcPr>
            <w:tcW w:type="dxa" w:w="1814"/>
          </w:tcPr>
          <w:p>
            <w:pPr>
              <w:spacing w:after="0"/>
            </w:pPr>
            <w:r>
              <w:rPr/>
              <w:t>3.585</w:t>
            </w:r>
          </w:p>
        </w:tc>
        <w:tc>
          <w:tcPr>
            <w:tcW w:type="dxa" w:w="1814"/>
          </w:tcPr>
          <w:p>
            <w:pPr>
              <w:spacing w:after="0"/>
            </w:pPr>
            <w:r>
              <w:rPr/>
              <w:t>%13,6</w:t>
            </w:r>
          </w:p>
        </w:tc>
      </w:tr>
    </w:tbl>
    <w:p>
      <w:pPr>
        <w:jc w:val="both"/>
      </w:pPr>
      <w:r>
        <w:rPr>
          <w:i/>
        </w:rPr>
        <w:t xml:space="preserve">Kaynak: </w:t>
      </w:r>
      <w:r>
        <w:rPr>
          <w:i/>
        </w:rPr>
        <w:t>results/01_baseline_berturk/metrics.json</w:t>
      </w:r>
      <w:r>
        <w:rPr>
          <w:i/>
        </w:rPr>
        <w:t>.</w:t>
      </w:r>
    </w:p>
    <w:p>
      <w:pPr>
        <w:jc w:val="both"/>
      </w:pPr>
      <w:r>
        <w:rPr/>
        <w:t xml:space="preserve">İki dilimin taban oranları belirgin biçimde farklıdır (%57,8'e karşı %13,6). Bunun doğrudan bir yöntemsel sonucu vardır ve ölçüm yapılmadan önce yazılı olarak sabitlenmiştir: </w:t>
      </w:r>
      <w:r>
        <w:rPr>
          <w:b/>
        </w:rPr>
        <w:t xml:space="preserve">dilimler arası karşılaştırma yalnızca </w:t>
      </w:r>
      <w:r>
        <w:rPr>
          <w:b/>
          <w:i/>
        </w:rPr>
        <w:t>OFF</w:t>
      </w:r>
      <w:r>
        <w:rPr>
          <w:b/>
        </w:rPr>
        <w:t>-duyarlılık (recall) üzerinden yapılır.</w:t>
      </w:r>
      <w:r>
        <w:rPr/>
        <w:t xml:space="preserve"> Makro-F1 ve doğruluk gibi ölçütler taban orana duyarlıdır; iki dilim arasında karşılaştırılmaları yanıltıcı olurdu. Bu kısıt </w:t>
      </w:r>
      <w:r>
        <w:rPr>
          <w:i/>
        </w:rPr>
        <w:t>phases/01_baseline_diagnosis.md</w:t>
      </w:r>
      <w:r>
        <w:rPr/>
        <w:t xml:space="preserve"> içinde ön kayıt olarak yer alır ve sonraki bütün aşamalarda bağlayıcıdır.</w:t>
      </w:r>
    </w:p>
    <w:p>
      <w:pPr>
        <w:jc w:val="both"/>
      </w:pPr>
      <w:r>
        <w:rPr>
          <w:b/>
        </w:rPr>
        <w:t>Bu kısıt gerekliydi, ancak yeterli değildir ve rapor bunu sonradan ölçmüştür.</w:t>
      </w:r>
      <w:r>
        <w:rPr/>
        <w:t xml:space="preserve"> </w:t>
      </w:r>
      <w:r>
        <w:rPr>
          <w:i/>
        </w:rPr>
        <w:t>OFF</w:t>
      </w:r>
      <w:r>
        <w:rPr/>
        <w:t xml:space="preserve">-duyarlılık taban orandan bağımsızdır, fakat </w:t>
      </w:r>
      <w:r>
        <w:rPr>
          <w:b/>
        </w:rPr>
        <w:t>sabit bir eşiğe bağlıdır</w:t>
      </w:r>
      <w:r>
        <w:rPr/>
        <w:t xml:space="preserve">: iyi kalibre edilmiş bir model, seyrek sınıfın bulunduğu dilimde daha düşük olasılıklar üretir ve 0,5 eşiğinde duyarlılık, içerik daha kötü çözümlendiği için değil, eşiğin nereye düştüğü yüzünden düşebilir. Bu itiraz §4.2'de hem eşikten hem taban orandan bağımsız bir ölçütle (dilim içi ROC-AUC) ayrıca ele alınmakta, sonucu ve </w:t>
      </w:r>
      <w:r>
        <w:rPr>
          <w:b/>
        </w:rPr>
        <w:t>ayrıştırılamayan</w:t>
      </w:r>
      <w:r>
        <w:rPr/>
        <w:t xml:space="preserve"> yanı §5.12'de raporlanmaktadır.</w:t>
      </w:r>
    </w:p>
    <w:p>
      <w:pPr>
        <w:pStyle w:val="Balk2"/>
      </w:pPr>
      <w:r>
        <w:t>1.5 Resmî test kümesi ve tek kullanım muhasebesi</w:t>
      </w:r>
    </w:p>
    <w:p>
      <w:pPr>
        <w:jc w:val="both"/>
      </w:pPr>
      <w:r>
        <w:rPr/>
        <w:t xml:space="preserve">Resmî Çöltekin test kümesi, projenin tamamında </w:t>
      </w:r>
      <w:r>
        <w:rPr>
          <w:b/>
        </w:rPr>
        <w:t>tek bir kez</w:t>
      </w:r>
      <w:r>
        <w:rPr/>
        <w:t xml:space="preserve"> ölçüm için kullanılmıştır. Geliştirme sırasında — "yalnızca bakmak" amacıyla bile — okunmamıştır; okunsaydı, sonrasında alınan her tasarım kararı bu kümeden bilgi almış olacak ve nihai sayı bağımsızlığını yitirecekti.</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Özellik</w:t>
            </w:r>
          </w:p>
        </w:tc>
        <w:tc>
          <w:tcPr>
            <w:tcW w:type="dxa" w:w="4536"/>
          </w:tcPr>
          <w:p>
            <w:pPr>
              <w:spacing w:after="0"/>
            </w:pPr>
            <w:r>
              <w:rPr>
                <w:b/>
              </w:rPr>
              <w:t>Değer</w:t>
            </w:r>
          </w:p>
        </w:tc>
      </w:tr>
      <w:tr>
        <w:tc>
          <w:tcPr>
            <w:tcW w:type="dxa" w:w="4536"/>
          </w:tcPr>
          <w:p>
            <w:pPr>
              <w:spacing w:after="0"/>
            </w:pPr>
            <w:r>
              <w:rPr/>
              <w:t>Test dosyası SHA-256</w:t>
            </w:r>
          </w:p>
        </w:tc>
        <w:tc>
          <w:tcPr>
            <w:tcW w:type="dxa" w:w="4536"/>
          </w:tcPr>
          <w:p>
            <w:pPr>
              <w:spacing w:after="0"/>
            </w:pPr>
            <w:r>
              <w:rPr>
                <w:i/>
              </w:rPr>
              <w:t>9052784e13248e58…</w:t>
            </w:r>
          </w:p>
        </w:tc>
      </w:tr>
      <w:tr>
        <w:tc>
          <w:tcPr>
            <w:tcW w:type="dxa" w:w="4536"/>
          </w:tcPr>
          <w:p>
            <w:pPr>
              <w:spacing w:after="0"/>
            </w:pPr>
            <w:r>
              <w:rPr/>
              <w:t>Altın etiket dosyası SHA-256</w:t>
            </w:r>
          </w:p>
        </w:tc>
        <w:tc>
          <w:tcPr>
            <w:tcW w:type="dxa" w:w="4536"/>
          </w:tcPr>
          <w:p>
            <w:pPr>
              <w:spacing w:after="0"/>
            </w:pPr>
            <w:r>
              <w:rPr>
                <w:i/>
              </w:rPr>
              <w:t>ae9b0837e948c3d9…</w:t>
            </w:r>
          </w:p>
        </w:tc>
      </w:tr>
      <w:tr>
        <w:tc>
          <w:tcPr>
            <w:tcW w:type="dxa" w:w="4536"/>
          </w:tcPr>
          <w:p>
            <w:pPr>
              <w:spacing w:after="0"/>
            </w:pPr>
            <w:r>
              <w:rPr/>
              <w:t>Satır sayısı</w:t>
            </w:r>
          </w:p>
        </w:tc>
        <w:tc>
          <w:tcPr>
            <w:tcW w:type="dxa" w:w="4536"/>
          </w:tcPr>
          <w:p>
            <w:pPr>
              <w:spacing w:after="0"/>
            </w:pPr>
            <w:r>
              <w:rPr/>
              <w:t>3.528</w:t>
            </w:r>
          </w:p>
        </w:tc>
      </w:tr>
      <w:tr>
        <w:tc>
          <w:tcPr>
            <w:tcW w:type="dxa" w:w="4536"/>
          </w:tcPr>
          <w:p>
            <w:pPr>
              <w:spacing w:after="0"/>
            </w:pPr>
            <w:r>
              <w:rPr>
                <w:i/>
              </w:rPr>
              <w:t>NOT</w:t>
            </w:r>
            <w:r>
              <w:rPr/>
              <w:t xml:space="preserve"> / </w:t>
            </w:r>
            <w:r>
              <w:rPr>
                <w:i/>
              </w:rPr>
              <w:t>OFF</w:t>
            </w:r>
          </w:p>
        </w:tc>
        <w:tc>
          <w:tcPr>
            <w:tcW w:type="dxa" w:w="4536"/>
          </w:tcPr>
          <w:p>
            <w:pPr>
              <w:spacing w:after="0"/>
            </w:pPr>
            <w:r>
              <w:rPr/>
              <w:t xml:space="preserve">2.812 / 716 (%20,3 </w:t>
            </w:r>
            <w:r>
              <w:rPr>
                <w:i/>
              </w:rPr>
              <w:t>OFF</w:t>
            </w:r>
            <w:r>
              <w:rPr/>
              <w:t>)</w:t>
            </w:r>
          </w:p>
        </w:tc>
      </w:tr>
    </w:tbl>
    <w:p/>
    <w:tbl>
      <w:tblPr>
        <w:tblStyle w:val="TableNormal"/>
        <w:tblW w:type="auto" w:w="0"/>
        <w:jc w:val="left"/>
        <w:tblLayout w:type="autofit"/>
        <w:tblLook w:firstColumn="1" w:firstRow="1" w:lastColumn="0" w:lastRow="0" w:noHBand="0" w:noVBand="1" w:val="04A0"/>
      </w:tblPr>
      <w:tblGrid>
        <w:gridCol w:w="1814"/>
        <w:gridCol w:w="1814"/>
        <w:gridCol w:w="1814"/>
        <w:gridCol w:w="1814"/>
        <w:gridCol w:w="1814"/>
      </w:tblGrid>
      <w:tr>
        <w:tc>
          <w:tcPr>
            <w:tcW w:type="dxa" w:w="1814"/>
          </w:tcPr>
          <w:p>
            <w:pPr>
              <w:spacing w:after="0"/>
            </w:pPr>
            <w:r>
              <w:rPr>
                <w:b/>
              </w:rPr>
              <w:t>Dilim</w:t>
            </w:r>
          </w:p>
        </w:tc>
        <w:tc>
          <w:tcPr>
            <w:tcW w:type="dxa" w:w="1814"/>
          </w:tcPr>
          <w:p>
            <w:pPr>
              <w:spacing w:after="0"/>
            </w:pPr>
            <w:r>
              <w:rPr>
                <w:b/>
              </w:rPr>
              <w:t>Satır</w:t>
            </w:r>
          </w:p>
        </w:tc>
        <w:tc>
          <w:tcPr>
            <w:tcW w:type="dxa" w:w="1814"/>
          </w:tcPr>
          <w:p>
            <w:pPr>
              <w:spacing w:after="0"/>
            </w:pPr>
            <w:r>
              <w:rPr>
                <w:b/>
                <w:i/>
              </w:rPr>
              <w:t>OFF</w:t>
            </w:r>
          </w:p>
        </w:tc>
        <w:tc>
          <w:tcPr>
            <w:tcW w:type="dxa" w:w="1814"/>
          </w:tcPr>
          <w:p>
            <w:pPr>
              <w:spacing w:after="0"/>
            </w:pPr>
            <w:r>
              <w:rPr>
                <w:b/>
                <w:i/>
              </w:rPr>
              <w:t>NOT</w:t>
            </w:r>
          </w:p>
        </w:tc>
        <w:tc>
          <w:tcPr>
            <w:tcW w:type="dxa" w:w="1814"/>
          </w:tcPr>
          <w:p>
            <w:pPr>
              <w:spacing w:after="0"/>
            </w:pPr>
            <w:r>
              <w:rPr>
                <w:b/>
                <w:i/>
              </w:rPr>
              <w:t>OFF</w:t>
            </w:r>
            <w:r>
              <w:rPr>
                <w:b/>
              </w:rPr>
              <w:t xml:space="preserve"> taban oranı</w:t>
            </w:r>
          </w:p>
        </w:tc>
      </w:tr>
      <w:tr>
        <w:tc>
          <w:tcPr>
            <w:tcW w:type="dxa" w:w="1814"/>
          </w:tcPr>
          <w:p>
            <w:pPr>
              <w:spacing w:after="0"/>
            </w:pPr>
            <w:r>
              <w:rPr>
                <w:i/>
              </w:rPr>
              <w:t>lexicon_hit</w:t>
            </w:r>
          </w:p>
        </w:tc>
        <w:tc>
          <w:tcPr>
            <w:tcW w:type="dxa" w:w="1814"/>
          </w:tcPr>
          <w:p>
            <w:pPr>
              <w:spacing w:after="0"/>
            </w:pPr>
            <w:r>
              <w:rPr/>
              <w:t>491</w:t>
            </w:r>
          </w:p>
        </w:tc>
        <w:tc>
          <w:tcPr>
            <w:tcW w:type="dxa" w:w="1814"/>
          </w:tcPr>
          <w:p>
            <w:pPr>
              <w:spacing w:after="0"/>
            </w:pPr>
            <w:r>
              <w:rPr/>
              <w:t>269</w:t>
            </w:r>
          </w:p>
        </w:tc>
        <w:tc>
          <w:tcPr>
            <w:tcW w:type="dxa" w:w="1814"/>
          </w:tcPr>
          <w:p>
            <w:pPr>
              <w:spacing w:after="0"/>
            </w:pPr>
            <w:r>
              <w:rPr/>
              <w:t>222</w:t>
            </w:r>
          </w:p>
        </w:tc>
        <w:tc>
          <w:tcPr>
            <w:tcW w:type="dxa" w:w="1814"/>
          </w:tcPr>
          <w:p>
            <w:pPr>
              <w:spacing w:after="0"/>
            </w:pPr>
            <w:r>
              <w:rPr/>
              <w:t>%54,8</w:t>
            </w:r>
          </w:p>
        </w:tc>
      </w:tr>
      <w:tr>
        <w:tc>
          <w:tcPr>
            <w:tcW w:type="dxa" w:w="1814"/>
          </w:tcPr>
          <w:p>
            <w:pPr>
              <w:spacing w:after="0"/>
            </w:pPr>
            <w:r>
              <w:rPr>
                <w:i/>
              </w:rPr>
              <w:t>lexicon_free</w:t>
            </w:r>
          </w:p>
        </w:tc>
        <w:tc>
          <w:tcPr>
            <w:tcW w:type="dxa" w:w="1814"/>
          </w:tcPr>
          <w:p>
            <w:pPr>
              <w:spacing w:after="0"/>
            </w:pPr>
            <w:r>
              <w:rPr/>
              <w:t>3.037</w:t>
            </w:r>
          </w:p>
        </w:tc>
        <w:tc>
          <w:tcPr>
            <w:tcW w:type="dxa" w:w="1814"/>
          </w:tcPr>
          <w:p>
            <w:pPr>
              <w:spacing w:after="0"/>
            </w:pPr>
            <w:r>
              <w:rPr/>
              <w:t>447</w:t>
            </w:r>
          </w:p>
        </w:tc>
        <w:tc>
          <w:tcPr>
            <w:tcW w:type="dxa" w:w="1814"/>
          </w:tcPr>
          <w:p>
            <w:pPr>
              <w:spacing w:after="0"/>
            </w:pPr>
            <w:r>
              <w:rPr/>
              <w:t>2.590</w:t>
            </w:r>
          </w:p>
        </w:tc>
        <w:tc>
          <w:tcPr>
            <w:tcW w:type="dxa" w:w="1814"/>
          </w:tcPr>
          <w:p>
            <w:pPr>
              <w:spacing w:after="0"/>
            </w:pPr>
            <w:r>
              <w:rPr/>
              <w:t>%14,7</w:t>
            </w:r>
          </w:p>
        </w:tc>
      </w:tr>
    </w:tbl>
    <w:p>
      <w:pPr>
        <w:jc w:val="both"/>
      </w:pPr>
      <w:r>
        <w:rPr>
          <w:i/>
        </w:rPr>
        <w:t xml:space="preserve">Kaynak: </w:t>
      </w:r>
      <w:r>
        <w:rPr>
          <w:i/>
        </w:rPr>
        <w:t>results/05_final_test/metrics.json</w:t>
      </w:r>
      <w:r>
        <w:rPr>
          <w:i/>
        </w:rPr>
        <w:t>.</w:t>
      </w:r>
    </w:p>
    <w:p>
      <w:pPr>
        <w:jc w:val="both"/>
      </w:pPr>
      <w:r>
        <w:rPr/>
        <w:t>Dilim yapısı geliştirme kümesindekiyle uyumludur (</w:t>
      </w:r>
      <w:r>
        <w:rPr>
          <w:i/>
        </w:rPr>
        <w:t>lexicon_hit</w:t>
      </w:r>
      <w:r>
        <w:rPr/>
        <w:t xml:space="preserve"> payı geliştirmede %12,9, testte %13,9), yani iki küme aynı olguyu ölçmektedir.</w:t>
      </w:r>
    </w:p>
    <w:p>
      <w:pPr>
        <w:jc w:val="both"/>
      </w:pPr>
      <w:r>
        <w:rPr/>
        <w:t xml:space="preserve">Tek kullanım kuralı bir söz değil, bir dosyadır. </w:t>
      </w:r>
      <w:r>
        <w:rPr>
          <w:i/>
        </w:rPr>
        <w:t>load_coltekin_test</w:t>
      </w:r>
      <w:r>
        <w:rPr/>
        <w:t xml:space="preserve"> çağrıldığında baytlar okunmadan </w:t>
      </w:r>
      <w:r>
        <w:rPr>
          <w:b/>
        </w:rPr>
        <w:t>önce</w:t>
      </w:r>
      <w:r>
        <w:rPr/>
        <w:t xml:space="preserve"> eklemeli bir açılış günlüğüne kayıt düşer; çalışma tamamlandığında ayrı bir "harcandı" kaydı yazılır ve bu kayıt mevcut olduğu sürece aynı fonksiyon çağrıldığında hata verir. Her iki dosya da sürüm denetimine dâhildir, dolayısıyla kısıt deponun başka bir makinedeki kopyasında da geçerlidir.</w:t>
      </w:r>
    </w:p>
    <w:p>
      <w:pPr>
        <w:jc w:val="both"/>
      </w:pPr>
      <w:r>
        <w:rPr/>
        <w:t xml:space="preserve">Kayıt, kümenin </w:t>
      </w:r>
      <w:r>
        <w:rPr>
          <w:b/>
        </w:rPr>
        <w:t>iki kez açıldığını</w:t>
      </w:r>
      <w:r>
        <w:rPr/>
        <w:t xml:space="preserve"> göstermektedir ve bu gizlenmemiştir:</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Açılış</w:t>
            </w:r>
          </w:p>
        </w:tc>
        <w:tc>
          <w:tcPr>
            <w:tcW w:type="dxa" w:w="4536"/>
          </w:tcPr>
          <w:p>
            <w:pPr>
              <w:spacing w:after="0"/>
            </w:pPr>
            <w:r>
              <w:rPr>
                <w:b/>
              </w:rPr>
              <w:t>Sonuç</w:t>
            </w:r>
          </w:p>
        </w:tc>
      </w:tr>
      <w:tr>
        <w:tc>
          <w:tcPr>
            <w:tcW w:type="dxa" w:w="4536"/>
          </w:tcPr>
          <w:p>
            <w:pPr>
              <w:spacing w:after="0"/>
            </w:pPr>
            <w:r>
              <w:rPr/>
              <w:t>2026-08-16T11:09:00</w:t>
            </w:r>
          </w:p>
        </w:tc>
        <w:tc>
          <w:tcPr>
            <w:tcW w:type="dxa" w:w="4536"/>
          </w:tcPr>
          <w:p>
            <w:pPr>
              <w:spacing w:after="0"/>
            </w:pPr>
            <w:r>
              <w:rPr/>
              <w:t>Model çıkarımı başlamadan çöktü (stdout yönlendirme sınıfında eksik bir yöntem). Hiçbir tahmin üretilmedi, hiçbir sayı elde edilmedi.</w:t>
            </w:r>
          </w:p>
        </w:tc>
      </w:tr>
      <w:tr>
        <w:tc>
          <w:tcPr>
            <w:tcW w:type="dxa" w:w="4536"/>
          </w:tcPr>
          <w:p>
            <w:pPr>
              <w:spacing w:after="0"/>
            </w:pPr>
            <w:r>
              <w:rPr/>
              <w:t>2026-08-16T11:10:36</w:t>
            </w:r>
          </w:p>
        </w:tc>
        <w:tc>
          <w:tcPr>
            <w:tcW w:type="dxa" w:w="4536"/>
          </w:tcPr>
          <w:p>
            <w:pPr>
              <w:spacing w:after="0"/>
            </w:pPr>
            <w:r>
              <w:rPr/>
              <w:t>Raporlanan tam çalıştırma; "harcandı" kaydı 11:11:44'te yazıldı.</w:t>
            </w:r>
          </w:p>
        </w:tc>
      </w:tr>
    </w:tbl>
    <w:p>
      <w:pPr>
        <w:jc w:val="both"/>
      </w:pPr>
      <w:r>
        <w:rPr>
          <w:i/>
        </w:rPr>
        <w:t xml:space="preserve">Kaynak: </w:t>
      </w:r>
      <w:r>
        <w:rPr>
          <w:i/>
        </w:rPr>
        <w:t>results/05_final_test/TEST_SET_OPENED.json</w:t>
      </w:r>
      <w:r>
        <w:rPr>
          <w:i/>
        </w:rPr>
        <w:t xml:space="preserve">, </w:t>
      </w:r>
      <w:r>
        <w:rPr>
          <w:i/>
        </w:rPr>
        <w:t>results/05_final_test/TEST_SET_SPENT.json</w:t>
      </w:r>
      <w:r>
        <w:rPr>
          <w:i/>
        </w:rPr>
        <w:t>.</w:t>
      </w:r>
    </w:p>
    <w:p>
      <w:pPr>
        <w:jc w:val="both"/>
      </w:pPr>
      <w:r>
        <w:rPr/>
        <w:t>Açılış günlüğünün okuma işleminden önce yazılmasının nedeni tam olarak budur: başarısız bir denemenin kayıttan silinmesi mümkün olmamalıdır. İlk okuma hiçbir sonuç üretmediği için hiçbir karara etki etmemiştir; ancak "hiçbir şey üretmedi" ifadesi, kanıt gerektiren bir iddiadır, beyan değil.</w:t>
      </w:r>
    </w:p>
    <w:p>
      <w:pPr>
        <w:pStyle w:val="Balk2"/>
      </w:pPr>
      <w:r>
        <w:t>1.6 Kayıt altına alınmayan veri kaynakları</w:t>
      </w:r>
    </w:p>
    <w:p>
      <w:pPr>
        <w:jc w:val="both"/>
      </w:pPr>
      <w:r>
        <w:rPr/>
        <w:t xml:space="preserve">Dürüstlük gereği belirtilmelidir: proje planında yer alan iki bağımsız Türkçe derlem (Mayda ve Beyhan) </w:t>
      </w:r>
      <w:r>
        <w:rPr>
          <w:b/>
        </w:rPr>
        <w:t>edinilmemiş ve hiçbir aşamada kullanılmamıştır.</w:t>
      </w:r>
      <w:r>
        <w:rPr/>
        <w:t xml:space="preserve"> İlgili dizinler boştur ve bu kaynaklara ilişkin hiçbir ölçüm </w:t>
      </w:r>
      <w:r>
        <w:rPr>
          <w:i/>
        </w:rPr>
        <w:t>docs/RESULTS_LOG.md</w:t>
      </w:r>
      <w:r>
        <w:rPr/>
        <w:t xml:space="preserve"> içinde yer almaz. Dolayısıyla bu çalışma, </w:t>
      </w:r>
      <w:r>
        <w:rPr>
          <w:b/>
        </w:rPr>
        <w:t>derlem-içi</w:t>
      </w:r>
      <w:r>
        <w:rPr/>
        <w:t xml:space="preserve"> (same-source) bir genelleme iddiası taşır; farklı bir derleme aktarım (cross-corpus transfer) iddiası taşımaz. Bu sınırlılık §"Sınırlılıklar" bölümünde yeniden ele alınmıştır.</w:t>
      </w:r>
    </w:p>
    <w:p>
      <w:pPr>
        <w:pStyle w:val="Balk2"/>
      </w:pPr>
      <w:r>
        <w:t>1.7 Birincil değerlendirme ölçütü</w:t>
      </w:r>
    </w:p>
    <w:p>
      <w:pPr>
        <w:jc w:val="both"/>
      </w:pPr>
      <w:r>
        <w:rPr/>
        <w:t xml:space="preserve">Bu çalışmanın katkısı, genel sınıflandırma başarımını yükseltmek değil, modelin </w:t>
      </w:r>
      <w:r>
        <w:rPr>
          <w:b/>
        </w:rPr>
        <w:t>sözlüksel bağımlılığını azaltmaktır.</w:t>
      </w:r>
      <w:r>
        <w:rPr/>
        <w:t xml:space="preserve"> Değerlendirme ölçütü de buna göre seçilmiştir.</w:t>
      </w:r>
    </w:p>
    <w:p>
      <w:pPr>
        <w:jc w:val="both"/>
      </w:pPr>
      <w:r>
        <w:rPr>
          <w:b/>
        </w:rPr>
        <w:t xml:space="preserve">Birincil ölçüt: </w:t>
      </w:r>
      <w:r>
        <w:rPr>
          <w:b/>
          <w:i/>
        </w:rPr>
        <w:t>lexicon_free</w:t>
      </w:r>
      <w:r>
        <w:rPr>
          <w:b/>
        </w:rPr>
        <w:t xml:space="preserve"> diliminde </w:t>
      </w:r>
      <w:r>
        <w:rPr>
          <w:b/>
          <w:i/>
        </w:rPr>
        <w:t>OFF</w:t>
      </w:r>
      <w:r>
        <w:rPr>
          <w:b/>
        </w:rPr>
        <w:t>-duyarlılık.</w:t>
      </w:r>
      <w:r>
        <w:rPr/>
        <w:t xml:space="preserve"> Yani, hiçbir küfür belirteci taşımayan saldırgan içeriğin ne kadarının yakalandığı. Çalışmanın tanısı bu dilimdeki açığa ilişkindir; müdahale bu dilim için tasarlanmıştır; dolayısıyla başarının ölçüldüğü yer de bu dilimdir.</w:t>
      </w:r>
    </w:p>
    <w:p>
      <w:pPr>
        <w:jc w:val="both"/>
      </w:pPr>
      <w:r>
        <w:rPr/>
        <w:t xml:space="preserve">Bu ölçütün seçimi </w:t>
      </w:r>
      <w:r>
        <w:rPr>
          <w:b/>
        </w:rPr>
        <w:t>sonuçlar görüldükten sonra yapılmamıştır.</w:t>
      </w:r>
      <w:r>
        <w:rPr/>
        <w:t xml:space="preserve"> Müdahalenin hedefi, herhangi bir savunma sayısı üretilmeden önce yazılı olarak sabitlenmiştir:</w:t>
      </w:r>
    </w:p>
    <w:p>
      <w:pPr>
        <w:ind w:left="567"/>
        <w:jc w:val="both"/>
      </w:pPr>
      <w:r>
        <w:rPr/>
        <w:t>"</w:t>
      </w:r>
      <w:r>
        <w:rPr>
          <w:b/>
        </w:rPr>
        <w:t>Targets.</w:t>
      </w:r>
      <w:r>
        <w:rPr/>
        <w:t xml:space="preserve"> 1a → the lexicon-free false negatives (implicit offense, 35% of the unbiased dev sample). 1b → the profanity-bearing false positives that perform no offensive act." — </w:t>
      </w:r>
      <w:r>
        <w:rPr>
          <w:i/>
        </w:rPr>
        <w:t>phases/03_defense_design.md</w:t>
      </w:r>
      <w:r>
        <w:rPr/>
        <w:t>, tasarım aşamasında, ölçümden önce.</w:t>
      </w:r>
    </w:p>
    <w:p>
      <w:pPr>
        <w:jc w:val="both"/>
      </w:pPr>
      <w:r>
        <w:rPr/>
        <w:t>Bu ayrım yöntemsel olarak belirleyicidir. Birden çok ölçüt arasından sonradan lehte olanı seçmek geçersiz bir uygulamadır; önceden ilan edilmiş bir hedef üzerinde ölçüm yapmak ise geçerli bir katkı iddiasıdır. Bu raporun iddiası ikincisidir ve dayanağı, tarih damgalı ön kayıttır.</w:t>
      </w:r>
    </w:p>
    <w:p>
      <w:pPr>
        <w:jc w:val="both"/>
      </w:pPr>
      <w:r>
        <w:rPr>
          <w:b/>
        </w:rPr>
        <w:t>İkincil ölçütler — her tabloda birincil ölçütle birlikte raporlanır:</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Ölçüt</w:t>
            </w:r>
          </w:p>
        </w:tc>
        <w:tc>
          <w:tcPr>
            <w:tcW w:type="dxa" w:w="4536"/>
          </w:tcPr>
          <w:p>
            <w:pPr>
              <w:spacing w:after="0"/>
            </w:pPr>
            <w:r>
              <w:rPr>
                <w:b/>
              </w:rPr>
              <w:t>Neden birlikte raporlanıyor</w:t>
            </w:r>
          </w:p>
        </w:tc>
      </w:tr>
      <w:tr>
        <w:tc>
          <w:tcPr>
            <w:tcW w:type="dxa" w:w="4536"/>
          </w:tcPr>
          <w:p>
            <w:pPr>
              <w:spacing w:after="0"/>
            </w:pPr>
            <w:r>
              <w:rPr/>
              <w:t>Genel makro-F1</w:t>
            </w:r>
          </w:p>
        </w:tc>
        <w:tc>
          <w:tcPr>
            <w:tcW w:type="dxa" w:w="4536"/>
          </w:tcPr>
          <w:p>
            <w:pPr>
              <w:spacing w:after="0"/>
            </w:pPr>
            <w:r>
              <w:rPr/>
              <w:t>Sistem düzeyinde net etkiyi gösterir; birincil ölçütteki kazanç bunu iyileştirmiyorsa, bu açıkça yazılmalıdır</w:t>
            </w:r>
          </w:p>
        </w:tc>
      </w:tr>
      <w:tr>
        <w:tc>
          <w:tcPr>
            <w:tcW w:type="dxa" w:w="4536"/>
          </w:tcPr>
          <w:p>
            <w:pPr>
              <w:spacing w:after="0"/>
            </w:pPr>
            <w:r>
              <w:rPr>
                <w:i/>
              </w:rPr>
              <w:t>lexicon_hit</w:t>
            </w:r>
            <w:r>
              <w:rPr/>
              <w:t xml:space="preserve"> </w:t>
            </w:r>
            <w:r>
              <w:rPr>
                <w:i/>
              </w:rPr>
              <w:t>OFF</w:t>
            </w:r>
            <w:r>
              <w:rPr/>
              <w:t>-duyarlılık</w:t>
            </w:r>
          </w:p>
        </w:tc>
        <w:tc>
          <w:tcPr>
            <w:tcW w:type="dxa" w:w="4536"/>
          </w:tcPr>
          <w:p>
            <w:pPr>
              <w:spacing w:after="0"/>
            </w:pPr>
            <w:r>
              <w:rPr/>
              <w:t>Modelin zaten iyi olduğu dilimdeki olası bozulmayı gösterir</w:t>
            </w:r>
          </w:p>
        </w:tc>
      </w:tr>
      <w:tr>
        <w:tc>
          <w:tcPr>
            <w:tcW w:type="dxa" w:w="4536"/>
          </w:tcPr>
          <w:p>
            <w:pPr>
              <w:spacing w:after="0"/>
            </w:pPr>
            <w:r>
              <w:rPr>
                <w:i/>
              </w:rPr>
              <w:t>lexicon_hit</w:t>
            </w:r>
            <w:r>
              <w:rPr/>
              <w:t xml:space="preserve"> yanlış pozitif oranı</w:t>
            </w:r>
          </w:p>
        </w:tc>
        <w:tc>
          <w:tcPr>
            <w:tcW w:type="dxa" w:w="4536"/>
          </w:tcPr>
          <w:p>
            <w:pPr>
              <w:spacing w:after="0"/>
            </w:pPr>
            <w:r>
              <w:rPr/>
              <w:t>1b bileşeninin kendi hedefine ulaşıp ulaşmadığını gösterir</w:t>
            </w:r>
          </w:p>
        </w:tc>
      </w:tr>
      <w:tr>
        <w:tc>
          <w:tcPr>
            <w:tcW w:type="dxa" w:w="4536"/>
          </w:tcPr>
          <w:p>
            <w:pPr>
              <w:spacing w:after="0"/>
            </w:pPr>
            <w:r>
              <w:rPr/>
              <w:t>Duyarlılık farkı (</w:t>
            </w:r>
            <w:r>
              <w:rPr>
                <w:i/>
              </w:rPr>
              <w:t>hit</w:t>
            </w:r>
            <w:r>
              <w:rPr/>
              <w:t xml:space="preserve"> − </w:t>
            </w:r>
            <w:r>
              <w:rPr>
                <w:i/>
              </w:rPr>
              <w:t>free</w:t>
            </w:r>
            <w:r>
              <w:rPr/>
              <w:t>)</w:t>
            </w:r>
          </w:p>
        </w:tc>
        <w:tc>
          <w:tcPr>
            <w:tcW w:type="dxa" w:w="4536"/>
          </w:tcPr>
          <w:p>
            <w:pPr>
              <w:spacing w:after="0"/>
            </w:pPr>
            <w:r>
              <w:rPr/>
              <w:t xml:space="preserve">Farkın </w:t>
            </w:r>
            <w:r>
              <w:rPr>
                <w:i/>
              </w:rPr>
              <w:t>hangi yönden</w:t>
            </w:r>
            <w:r>
              <w:rPr/>
              <w:t xml:space="preserve"> daraldığını ayırt etmeyi sağlar</w:t>
            </w:r>
          </w:p>
        </w:tc>
      </w:tr>
    </w:tbl>
    <w:p>
      <w:pPr>
        <w:jc w:val="both"/>
      </w:pPr>
      <w:r>
        <w:rPr/>
        <w:t xml:space="preserve">Bu birlikte raporlama zorunluluğu da tasarım aşamasında, olası bir başarısızlık biçimine karşı önlem olarak yazılmıştır: farkın "yanlış nedenle" daralması, yani </w:t>
      </w:r>
      <w:r>
        <w:rPr>
          <w:i/>
        </w:rPr>
        <w:t>lexicon_free</w:t>
      </w:r>
      <w:r>
        <w:rPr/>
        <w:t xml:space="preserve"> yükseldiği için değil </w:t>
      </w:r>
      <w:r>
        <w:rPr>
          <w:i/>
        </w:rPr>
        <w:t>lexicon_hit</w:t>
      </w:r>
      <w:r>
        <w:rPr/>
        <w:t xml:space="preserve"> düştüğü için daralması. Tasarım belgesi bunu şöyle kaydeder: </w:t>
      </w:r>
      <w:r>
        <w:rPr>
          <w:i/>
        </w:rPr>
        <w:t xml:space="preserve">"a within-gap trade where </w:t>
      </w:r>
      <w:r>
        <w:rPr>
          <w:i/>
        </w:rPr>
        <w:t>lexicon_hit</w:t>
      </w:r>
      <w:r>
        <w:rPr>
          <w:i/>
        </w:rPr>
        <w:t xml:space="preserve"> recall falls and the gap narrows for the wrong reason — which is why all four metrics are reported together."</w:t>
      </w:r>
    </w:p>
    <w:p>
      <w:pPr>
        <w:jc w:val="both"/>
      </w:pPr>
      <w:r>
        <w:rPr/>
        <w:t xml:space="preserve">Sonuç olarak bu rapor, birincil ölçütteki kazancı </w:t>
      </w:r>
      <w:r>
        <w:rPr>
          <w:b/>
        </w:rPr>
        <w:t>ölçülmüş bir iyileşme</w:t>
      </w:r>
      <w:r>
        <w:rPr/>
        <w:t xml:space="preserve"> olarak sunar ve bu kazancın bedellerini — genel makro-F1'in değişmemesi ve </w:t>
      </w:r>
      <w:r>
        <w:rPr>
          <w:i/>
        </w:rPr>
        <w:t>lexicon_hit</w:t>
      </w:r>
      <w:r>
        <w:rPr/>
        <w:t xml:space="preserve"> tarafındaki maliyet — aynı bölümde, aynı tablolarda ve gizlemeden raporlar. Kazanç da bedel de aynı ön kayıttan doğmaktadır.</w:t>
      </w:r>
    </w:p>
    <w:p>
      <w:pPr>
        <w:jc w:val="both"/>
      </w:pPr>
      <w:r>
        <w:rPr>
          <w:b/>
        </w:rPr>
        <w:t xml:space="preserve">Kazancın </w:t>
      </w:r>
      <w:r>
        <w:rPr>
          <w:b/>
          <w:i/>
        </w:rPr>
        <w:t>ne gösterdiği</w:t>
      </w:r>
      <w:r>
        <w:rPr>
          <w:b/>
        </w:rPr>
        <w:t xml:space="preserve"> ayrı bir sorudur ve ayrıca ölçülmüştür.</w:t>
      </w:r>
      <w:r>
        <w:rPr/>
        <w:t xml:space="preserve"> Geliştirme kümesinde mekanizma bir </w:t>
      </w:r>
      <w:r>
        <w:rPr>
          <w:b/>
        </w:rPr>
        <w:t>eşik geçişidir</w:t>
      </w:r>
      <w:r>
        <w:rPr/>
        <w:t xml:space="preserve">: sıralama niteliği ölçülebilir biçimde değişmemiş, kazancı açıklayabilecek büyüklükte bir sıralama iyileşmesi </w:t>
      </w:r>
      <w:r>
        <w:rPr>
          <w:b/>
        </w:rPr>
        <w:t>dışlanmıştır</w:t>
      </w:r>
      <w:r>
        <w:rPr/>
        <w:t xml:space="preserve"> (§4.6). Yukarıdaki uyarının — farkın yanlış nedenle daralması — gerçekleştiği de aynı ölçümle görünür hale gelmiştir (§4.7). Bu rapor, müdahalenin modele küfürsüz saldırganlığı </w:t>
      </w:r>
      <w:r>
        <w:rPr>
          <w:b/>
        </w:rPr>
        <w:t>ayırt etmeyi öğrettiği</w:t>
      </w:r>
      <w:r>
        <w:rPr/>
        <w:t xml:space="preserve"> iddiasını taşımaz (§5.4).</w:t>
      </w:r>
    </w:p>
    <w:p>
      <w:pPr>
        <w:jc w:val="both"/>
      </w:pPr>
      <w:r>
        <w:rPr>
          <w:b/>
        </w:rPr>
        <w:t>İstatistiksel protokol.</w:t>
      </w:r>
      <w:r>
        <w:rPr/>
        <w:t xml:space="preserve"> Tüm ölçütler için güven aralıkları, satırlar üzerinde 1.000 yeniden örneklemeli parametrik olmayan bootstrap ile hesaplanır. İki sistem aynı satırlar üzerinde karşılaştırıldığında </w:t>
      </w:r>
      <w:r>
        <w:rPr>
          <w:b/>
        </w:rPr>
        <w:t>eşleştirilmiş</w:t>
      </w:r>
      <w:r>
        <w:rPr/>
        <w:t xml:space="preserve"> (paired) bootstrap kullanılır: satırlar bir kez yeniden örneklenir ve her iki sistem aynı örneklem üzerinde puanlanır; iki bağımsız güven aralığının karşılaştırılması farkın belirsizliğini olduğundan büyük gösterirdi. Ayrık dilimler karşılaştırıldığında (örneğin </w:t>
      </w:r>
      <w:r>
        <w:rPr>
          <w:i/>
        </w:rPr>
        <w:t>hit</w:t>
      </w:r>
      <w:r>
        <w:rPr/>
        <w:t xml:space="preserve"> ile </w:t>
      </w:r>
      <w:r>
        <w:rPr>
          <w:i/>
        </w:rPr>
        <w:t>free</w:t>
      </w:r>
      <w:r>
        <w:rPr/>
        <w:t xml:space="preserve">) bağımsız yeniden örnekleme uygulanır. Farklar, </w:t>
      </w:r>
      <w:r>
        <w:rPr>
          <w:b/>
        </w:rPr>
        <w:t>işaretine bakılmaksızın</w:t>
      </w:r>
      <w:r>
        <w:rPr/>
        <w:t xml:space="preserve"> güven aralıklarıyla birlikte raporlanır.</w:t>
      </w:r>
    </w:p>
    <w:p/>
    <w:p>
      <w:pPr>
        <w:pStyle w:val="Balk3"/>
      </w:pPr>
      <w:r>
        <w:t>Bu bölümde kullanılan kaynakların özeti</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Kaynak dosya</w:t>
            </w:r>
          </w:p>
        </w:tc>
        <w:tc>
          <w:tcPr>
            <w:tcW w:type="dxa" w:w="4536"/>
          </w:tcPr>
          <w:p>
            <w:pPr>
              <w:spacing w:after="0"/>
            </w:pPr>
            <w:r>
              <w:rPr>
                <w:b/>
              </w:rPr>
              <w:t>Sağladığı değerler</w:t>
            </w:r>
          </w:p>
        </w:tc>
      </w:tr>
      <w:tr>
        <w:tc>
          <w:tcPr>
            <w:tcW w:type="dxa" w:w="4536"/>
          </w:tcPr>
          <w:p>
            <w:pPr>
              <w:spacing w:after="0"/>
            </w:pPr>
            <w:r>
              <w:rPr>
                <w:i/>
              </w:rPr>
              <w:t>results/day1_report.json</w:t>
            </w:r>
          </w:p>
        </w:tc>
        <w:tc>
          <w:tcPr>
            <w:tcW w:type="dxa" w:w="4536"/>
          </w:tcPr>
          <w:p>
            <w:pPr>
              <w:spacing w:after="0"/>
            </w:pPr>
            <w:r>
              <w:rPr/>
              <w:t xml:space="preserve">derlem ve sözlük özetleri, 31.756 satır, 6.131 </w:t>
            </w:r>
            <w:r>
              <w:rPr>
                <w:i/>
              </w:rPr>
              <w:t>OFF</w:t>
            </w:r>
            <w:r>
              <w:rPr/>
              <w:t>, 695 sözlük girdisi, 1.787 / 2.239 / 3.892 eşleşme sayıları</w:t>
            </w:r>
          </w:p>
        </w:tc>
      </w:tr>
      <w:tr>
        <w:tc>
          <w:tcPr>
            <w:tcW w:type="dxa" w:w="4536"/>
          </w:tcPr>
          <w:p>
            <w:pPr>
              <w:spacing w:after="0"/>
            </w:pPr>
            <w:r>
              <w:rPr>
                <w:i/>
              </w:rPr>
              <w:t>results/day1_report_rerun.json</w:t>
            </w:r>
          </w:p>
        </w:tc>
        <w:tc>
          <w:tcPr>
            <w:tcW w:type="dxa" w:w="4536"/>
          </w:tcPr>
          <w:p>
            <w:pPr>
              <w:spacing w:after="0"/>
            </w:pPr>
            <w:r>
              <w:rPr/>
              <w:t>16/16 alanın yeniden üretilmesi</w:t>
            </w:r>
          </w:p>
        </w:tc>
      </w:tr>
      <w:tr>
        <w:tc>
          <w:tcPr>
            <w:tcW w:type="dxa" w:w="4536"/>
          </w:tcPr>
          <w:p>
            <w:pPr>
              <w:spacing w:after="0"/>
            </w:pPr>
            <w:r>
              <w:rPr>
                <w:i/>
              </w:rPr>
              <w:t>data/splits/split_seed42.json</w:t>
            </w:r>
          </w:p>
        </w:tc>
        <w:tc>
          <w:tcPr>
            <w:tcW w:type="dxa" w:w="4536"/>
          </w:tcPr>
          <w:p>
            <w:pPr>
              <w:spacing w:after="0"/>
            </w:pPr>
            <w:r>
              <w:rPr/>
              <w:t>eğitim/geliştirme sayıları, tohum, parmak izi</w:t>
            </w:r>
          </w:p>
        </w:tc>
      </w:tr>
      <w:tr>
        <w:tc>
          <w:tcPr>
            <w:tcW w:type="dxa" w:w="4536"/>
          </w:tcPr>
          <w:p>
            <w:pPr>
              <w:spacing w:after="0"/>
            </w:pPr>
            <w:r>
              <w:rPr>
                <w:i/>
              </w:rPr>
              <w:t>results/01_baseline_berturk/metrics.json</w:t>
            </w:r>
          </w:p>
        </w:tc>
        <w:tc>
          <w:tcPr>
            <w:tcW w:type="dxa" w:w="4536"/>
          </w:tcPr>
          <w:p>
            <w:pPr>
              <w:spacing w:after="0"/>
            </w:pPr>
            <w:r>
              <w:rPr/>
              <w:t xml:space="preserve">geliştirme dilim sayıları ve taban oranları, </w:t>
            </w:r>
            <w:r>
              <w:rPr>
                <w:i/>
              </w:rPr>
              <w:t>sanity_gate</w:t>
            </w:r>
          </w:p>
        </w:tc>
      </w:tr>
      <w:tr>
        <w:tc>
          <w:tcPr>
            <w:tcW w:type="dxa" w:w="4536"/>
          </w:tcPr>
          <w:p>
            <w:pPr>
              <w:spacing w:after="0"/>
            </w:pPr>
            <w:r>
              <w:rPr>
                <w:i/>
              </w:rPr>
              <w:t>results/05_final_test/metrics.json</w:t>
            </w:r>
          </w:p>
        </w:tc>
        <w:tc>
          <w:tcPr>
            <w:tcW w:type="dxa" w:w="4536"/>
          </w:tcPr>
          <w:p>
            <w:pPr>
              <w:spacing w:after="0"/>
            </w:pPr>
            <w:r>
              <w:rPr/>
              <w:t>test satır ve dilim sayıları, dosya özetleri</w:t>
            </w:r>
          </w:p>
        </w:tc>
      </w:tr>
      <w:tr>
        <w:tc>
          <w:tcPr>
            <w:tcW w:type="dxa" w:w="4536"/>
          </w:tcPr>
          <w:p>
            <w:pPr>
              <w:spacing w:after="0"/>
            </w:pPr>
            <w:r>
              <w:rPr>
                <w:i/>
              </w:rPr>
              <w:t>results/05_final_test/TEST_SET_{OPENED,SPENT}.json</w:t>
            </w:r>
          </w:p>
        </w:tc>
        <w:tc>
          <w:tcPr>
            <w:tcW w:type="dxa" w:w="4536"/>
          </w:tcPr>
          <w:p>
            <w:pPr>
              <w:spacing w:after="0"/>
            </w:pPr>
            <w:r>
              <w:rPr/>
              <w:t>tek kullanım muhasebesi</w:t>
            </w:r>
          </w:p>
        </w:tc>
      </w:tr>
      <w:tr>
        <w:tc>
          <w:tcPr>
            <w:tcW w:type="dxa" w:w="4536"/>
          </w:tcPr>
          <w:p>
            <w:pPr>
              <w:spacing w:after="0"/>
            </w:pPr>
            <w:r>
              <w:rPr>
                <w:i/>
              </w:rPr>
              <w:t>phases/01_baseline_diagnosis.md</w:t>
            </w:r>
          </w:p>
        </w:tc>
        <w:tc>
          <w:tcPr>
            <w:tcW w:type="dxa" w:w="4536"/>
          </w:tcPr>
          <w:p>
            <w:pPr>
              <w:spacing w:after="0"/>
            </w:pPr>
            <w:r>
              <w:rPr/>
              <w:t xml:space="preserve">dilimler arası karşılaştırmanın </w:t>
            </w:r>
            <w:r>
              <w:rPr>
                <w:i/>
              </w:rPr>
              <w:t>OFF</w:t>
            </w:r>
            <w:r>
              <w:rPr/>
              <w:t>-duyarlılıkla sınırlanması (ön kayıt)</w:t>
            </w:r>
          </w:p>
        </w:tc>
      </w:tr>
      <w:tr>
        <w:tc>
          <w:tcPr>
            <w:tcW w:type="dxa" w:w="4536"/>
          </w:tcPr>
          <w:p>
            <w:pPr>
              <w:spacing w:after="0"/>
            </w:pPr>
            <w:r>
              <w:rPr>
                <w:i/>
              </w:rPr>
              <w:t>phases/03_defense_design.md</w:t>
            </w:r>
          </w:p>
        </w:tc>
        <w:tc>
          <w:tcPr>
            <w:tcW w:type="dxa" w:w="4536"/>
          </w:tcPr>
          <w:p>
            <w:pPr>
              <w:spacing w:after="0"/>
            </w:pPr>
            <w:r>
              <w:rPr/>
              <w:t>müdahalenin hedefinin ölçümden önce sabitlenmesi; dört ölçütün birlikte raporlanma zorunluluğu (ön kayıt)</w:t>
            </w:r>
          </w:p>
        </w:tc>
      </w:tr>
    </w:tbl>
    <w:p>
      <w:pPr>
        <w:pStyle w:val="Balk1"/>
      </w:pPr>
      <w:r>
        <w:t>2. Yöntem</w:t>
      </w:r>
    </w:p>
    <w:p>
      <w:pPr>
        <w:ind w:left="567"/>
        <w:jc w:val="both"/>
      </w:pPr>
      <w:r>
        <w:rPr>
          <w:b/>
        </w:rPr>
        <w:t>Taslak durumu.</w:t>
      </w:r>
      <w:r>
        <w:rPr/>
        <w:t xml:space="preserve"> KYS rapor şablonu yayımlanmadan önce yazılmıştır; başlık numaralandırması geçicidir. Bu bölümde verilen her yapılandırma değeri, çalıştırma anında üretilen </w:t>
      </w:r>
      <w:r>
        <w:rPr>
          <w:i/>
        </w:rPr>
        <w:t>run_config.json</w:t>
      </w:r>
      <w:r>
        <w:rPr/>
        <w:t xml:space="preserve"> dosyalarından alınmıştır; hiçbiri sonradan yazılmamıştır.</w:t>
      </w:r>
    </w:p>
    <w:p>
      <w:pPr>
        <w:jc w:val="both"/>
      </w:pPr>
      <w:r>
        <w:rPr/>
        <w:t>Bu bölüm, yapılan işlemleri yeniden üretilebilecek ayrıntıda tanımlar. Bölüm 1 neyin ölçüldüğünü belirledi; bu bölüm nasıl ölçüldüğünü belirler.</w:t>
      </w:r>
    </w:p>
    <w:p>
      <w:pPr>
        <w:pStyle w:val="Balk2"/>
      </w:pPr>
      <w:r>
        <w:t>2.1 Model ve eğitim yapılandırması</w:t>
      </w:r>
    </w:p>
    <w:p>
      <w:pPr>
        <w:jc w:val="both"/>
      </w:pPr>
      <w:r>
        <w:rPr/>
        <w:t xml:space="preserve">Temel model, Türkçe için önceden eğitilmiş </w:t>
      </w:r>
      <w:r>
        <w:rPr>
          <w:i/>
        </w:rPr>
        <w:t>dbmdz/bert-base-turkish-cased</w:t>
      </w:r>
      <w:r>
        <w:rPr/>
        <w:t xml:space="preserve"> (BERTurk) kodlayıcısıdır; üzerine iki sınıflı bir sınıflandırma başlığı eklenerek ince ayar yapılmıştır.</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Hiperparametre</w:t>
            </w:r>
          </w:p>
        </w:tc>
        <w:tc>
          <w:tcPr>
            <w:tcW w:type="dxa" w:w="4536"/>
          </w:tcPr>
          <w:p>
            <w:pPr>
              <w:spacing w:after="0"/>
            </w:pPr>
            <w:r>
              <w:rPr>
                <w:b/>
              </w:rPr>
              <w:t>Değer</w:t>
            </w:r>
          </w:p>
        </w:tc>
      </w:tr>
      <w:tr>
        <w:tc>
          <w:tcPr>
            <w:tcW w:type="dxa" w:w="4536"/>
          </w:tcPr>
          <w:p>
            <w:pPr>
              <w:spacing w:after="0"/>
            </w:pPr>
            <w:r>
              <w:rPr/>
              <w:t>Model</w:t>
            </w:r>
          </w:p>
        </w:tc>
        <w:tc>
          <w:tcPr>
            <w:tcW w:type="dxa" w:w="4536"/>
          </w:tcPr>
          <w:p>
            <w:pPr>
              <w:spacing w:after="0"/>
            </w:pPr>
            <w:r>
              <w:rPr>
                <w:i/>
              </w:rPr>
              <w:t>dbmdz/bert-base-turkish-cased</w:t>
            </w:r>
          </w:p>
        </w:tc>
      </w:tr>
      <w:tr>
        <w:tc>
          <w:tcPr>
            <w:tcW w:type="dxa" w:w="4536"/>
          </w:tcPr>
          <w:p>
            <w:pPr>
              <w:spacing w:after="0"/>
            </w:pPr>
            <w:r>
              <w:rPr/>
              <w:t>Devir sayısı (epoch)</w:t>
            </w:r>
          </w:p>
        </w:tc>
        <w:tc>
          <w:tcPr>
            <w:tcW w:type="dxa" w:w="4536"/>
          </w:tcPr>
          <w:p>
            <w:pPr>
              <w:spacing w:after="0"/>
            </w:pPr>
            <w:r>
              <w:rPr/>
              <w:t>3</w:t>
            </w:r>
          </w:p>
        </w:tc>
      </w:tr>
      <w:tr>
        <w:tc>
          <w:tcPr>
            <w:tcW w:type="dxa" w:w="4536"/>
          </w:tcPr>
          <w:p>
            <w:pPr>
              <w:spacing w:after="0"/>
            </w:pPr>
            <w:r>
              <w:rPr/>
              <w:t>Yığın boyutu</w:t>
            </w:r>
          </w:p>
        </w:tc>
        <w:tc>
          <w:tcPr>
            <w:tcW w:type="dxa" w:w="4536"/>
          </w:tcPr>
          <w:p>
            <w:pPr>
              <w:spacing w:after="0"/>
            </w:pPr>
            <w:r>
              <w:rPr/>
              <w:t>32</w:t>
            </w:r>
          </w:p>
        </w:tc>
      </w:tr>
      <w:tr>
        <w:tc>
          <w:tcPr>
            <w:tcW w:type="dxa" w:w="4536"/>
          </w:tcPr>
          <w:p>
            <w:pPr>
              <w:spacing w:after="0"/>
            </w:pPr>
            <w:r>
              <w:rPr/>
              <w:t>Öğrenme oranı</w:t>
            </w:r>
          </w:p>
        </w:tc>
        <w:tc>
          <w:tcPr>
            <w:tcW w:type="dxa" w:w="4536"/>
          </w:tcPr>
          <w:p>
            <w:pPr>
              <w:spacing w:after="0"/>
            </w:pPr>
            <w:r>
              <w:rPr/>
              <w:t>2 × 10⁻⁵</w:t>
            </w:r>
          </w:p>
        </w:tc>
      </w:tr>
      <w:tr>
        <w:tc>
          <w:tcPr>
            <w:tcW w:type="dxa" w:w="4536"/>
          </w:tcPr>
          <w:p>
            <w:pPr>
              <w:spacing w:after="0"/>
            </w:pPr>
            <w:r>
              <w:rPr/>
              <w:t>Öğrenme oranı çizelgesi</w:t>
            </w:r>
          </w:p>
        </w:tc>
        <w:tc>
          <w:tcPr>
            <w:tcW w:type="dxa" w:w="4536"/>
          </w:tcPr>
          <w:p>
            <w:pPr>
              <w:spacing w:after="0"/>
            </w:pPr>
            <w:r>
              <w:rPr/>
              <w:t>doğrusal azalma, %10 ısınma</w:t>
            </w:r>
          </w:p>
        </w:tc>
      </w:tr>
      <w:tr>
        <w:tc>
          <w:tcPr>
            <w:tcW w:type="dxa" w:w="4536"/>
          </w:tcPr>
          <w:p>
            <w:pPr>
              <w:spacing w:after="0"/>
            </w:pPr>
            <w:r>
              <w:rPr/>
              <w:t>Ağırlık sönümü</w:t>
            </w:r>
          </w:p>
        </w:tc>
        <w:tc>
          <w:tcPr>
            <w:tcW w:type="dxa" w:w="4536"/>
          </w:tcPr>
          <w:p>
            <w:pPr>
              <w:spacing w:after="0"/>
            </w:pPr>
            <w:r>
              <w:rPr/>
              <w:t>0,01</w:t>
            </w:r>
          </w:p>
        </w:tc>
      </w:tr>
      <w:tr>
        <w:tc>
          <w:tcPr>
            <w:tcW w:type="dxa" w:w="4536"/>
          </w:tcPr>
          <w:p>
            <w:pPr>
              <w:spacing w:after="0"/>
            </w:pPr>
            <w:r>
              <w:rPr/>
              <w:t>En büyük dizi uzunluğu</w:t>
            </w:r>
          </w:p>
        </w:tc>
        <w:tc>
          <w:tcPr>
            <w:tcW w:type="dxa" w:w="4536"/>
          </w:tcPr>
          <w:p>
            <w:pPr>
              <w:spacing w:after="0"/>
            </w:pPr>
            <w:r>
              <w:rPr/>
              <w:t>128 belirteç</w:t>
            </w:r>
          </w:p>
        </w:tc>
      </w:tr>
      <w:tr>
        <w:tc>
          <w:tcPr>
            <w:tcW w:type="dxa" w:w="4536"/>
          </w:tcPr>
          <w:p>
            <w:pPr>
              <w:spacing w:after="0"/>
            </w:pPr>
            <w:r>
              <w:rPr/>
              <w:t>Karma duyarlık</w:t>
            </w:r>
          </w:p>
        </w:tc>
        <w:tc>
          <w:tcPr>
            <w:tcW w:type="dxa" w:w="4536"/>
          </w:tcPr>
          <w:p>
            <w:pPr>
              <w:spacing w:after="0"/>
            </w:pPr>
            <w:r>
              <w:rPr/>
              <w:t>fp16 açık</w:t>
            </w:r>
          </w:p>
        </w:tc>
      </w:tr>
      <w:tr>
        <w:tc>
          <w:tcPr>
            <w:tcW w:type="dxa" w:w="4536"/>
          </w:tcPr>
          <w:p>
            <w:pPr>
              <w:spacing w:after="0"/>
            </w:pPr>
            <w:r>
              <w:rPr/>
              <w:t>Sınıf ağırlıklandırma</w:t>
            </w:r>
          </w:p>
        </w:tc>
        <w:tc>
          <w:tcPr>
            <w:tcW w:type="dxa" w:w="4536"/>
          </w:tcPr>
          <w:p>
            <w:pPr>
              <w:spacing w:after="0"/>
            </w:pPr>
            <w:r>
              <w:rPr/>
              <w:t>yok</w:t>
            </w:r>
          </w:p>
        </w:tc>
      </w:tr>
      <w:tr>
        <w:tc>
          <w:tcPr>
            <w:tcW w:type="dxa" w:w="4536"/>
          </w:tcPr>
          <w:p>
            <w:pPr>
              <w:spacing w:after="0"/>
            </w:pPr>
            <w:r>
              <w:rPr/>
              <w:t>Karar eşiği</w:t>
            </w:r>
          </w:p>
        </w:tc>
        <w:tc>
          <w:tcPr>
            <w:tcW w:type="dxa" w:w="4536"/>
          </w:tcPr>
          <w:p>
            <w:pPr>
              <w:spacing w:after="0"/>
            </w:pPr>
            <w:r>
              <w:rPr/>
              <w:t>0,5 (sabit)</w:t>
            </w:r>
          </w:p>
        </w:tc>
      </w:tr>
      <w:tr>
        <w:tc>
          <w:tcPr>
            <w:tcW w:type="dxa" w:w="4536"/>
          </w:tcPr>
          <w:p>
            <w:pPr>
              <w:spacing w:after="0"/>
            </w:pPr>
            <w:r>
              <w:rPr/>
              <w:t>Tohum</w:t>
            </w:r>
          </w:p>
        </w:tc>
        <w:tc>
          <w:tcPr>
            <w:tcW w:type="dxa" w:w="4536"/>
          </w:tcPr>
          <w:p>
            <w:pPr>
              <w:spacing w:after="0"/>
            </w:pPr>
            <w:r>
              <w:rPr/>
              <w:t>42</w:t>
            </w:r>
          </w:p>
        </w:tc>
      </w:tr>
      <w:tr>
        <w:tc>
          <w:tcPr>
            <w:tcW w:type="dxa" w:w="4536"/>
          </w:tcPr>
          <w:p>
            <w:pPr>
              <w:spacing w:after="0"/>
            </w:pPr>
            <w:r>
              <w:rPr/>
              <w:t>Donanım</w:t>
            </w:r>
          </w:p>
        </w:tc>
        <w:tc>
          <w:tcPr>
            <w:tcW w:type="dxa" w:w="4536"/>
          </w:tcPr>
          <w:p>
            <w:pPr>
              <w:spacing w:after="0"/>
            </w:pPr>
            <w:r>
              <w:rPr/>
              <w:t>NVIDIA L4</w:t>
            </w:r>
          </w:p>
        </w:tc>
      </w:tr>
      <w:tr>
        <w:tc>
          <w:tcPr>
            <w:tcW w:type="dxa" w:w="4536"/>
          </w:tcPr>
          <w:p>
            <w:pPr>
              <w:spacing w:after="0"/>
            </w:pPr>
            <w:r>
              <w:rPr/>
              <w:t>Kitaplıklar</w:t>
            </w:r>
          </w:p>
        </w:tc>
        <w:tc>
          <w:tcPr>
            <w:tcW w:type="dxa" w:w="4536"/>
          </w:tcPr>
          <w:p>
            <w:pPr>
              <w:spacing w:after="0"/>
            </w:pPr>
            <w:r>
              <w:rPr/>
              <w:t>torch 2.11.0+cu128, transformers 5.15.0, scikit-learn 1.6.1</w:t>
            </w:r>
          </w:p>
        </w:tc>
      </w:tr>
    </w:tbl>
    <w:p>
      <w:pPr>
        <w:jc w:val="both"/>
      </w:pPr>
      <w:r>
        <w:rPr>
          <w:i/>
        </w:rPr>
        <w:t xml:space="preserve">Kaynak: </w:t>
      </w:r>
      <w:r>
        <w:rPr>
          <w:i/>
        </w:rPr>
        <w:t>results/01_baseline_berturk/run_config.json</w:t>
      </w:r>
      <w:r>
        <w:rPr>
          <w:i/>
        </w:rPr>
        <w:t>. Eğitim süresi: 2026-08-15 16:12:34–16:18:18.</w:t>
      </w:r>
    </w:p>
    <w:p>
      <w:pPr>
        <w:jc w:val="both"/>
      </w:pPr>
      <w:r>
        <w:rPr/>
        <w:t xml:space="preserve">Aynı yapılandırma, karşılaştırmaya giren </w:t>
      </w:r>
      <w:r>
        <w:rPr>
          <w:b/>
        </w:rPr>
        <w:t>bütün</w:t>
      </w:r>
      <w:r>
        <w:rPr/>
        <w:t xml:space="preserve"> eğitim çalıştırmalarında değiştirilmeden kullanılmıştır: temel model, üç savunma çeşitlemesi ve 5 katlı çapraz doğrulamanın her katı.</w:t>
      </w:r>
    </w:p>
    <w:p>
      <w:pPr>
        <w:pStyle w:val="Balk3"/>
      </w:pPr>
      <w:r>
        <w:t>Neden hiperparametre taraması yapılmadı</w:t>
      </w:r>
    </w:p>
    <w:p>
      <w:pPr>
        <w:jc w:val="both"/>
      </w:pPr>
      <w:r>
        <w:rPr/>
        <w:t>Bu bilinçli bir tercihtir ve dört gerekçesi vardır.</w:t>
      </w:r>
    </w:p>
    <w:p>
      <w:pPr>
        <w:jc w:val="both"/>
      </w:pPr>
      <w:r>
        <w:rPr>
          <w:b/>
        </w:rPr>
        <w:t>Birincisi, çalışmanın nesnesi bir karşılaştırmadır, bir eniyileme değildir.</w:t>
      </w:r>
      <w:r>
        <w:rPr/>
        <w:t xml:space="preserve"> Tek bir sistemin hiperparametrelerini taramak, o sistemi diğerleri karşısında kayırır. Karşılaştırmanın adil kalması için taramanın her kola eşit biçimde uygulanması gerekirdi; bu da hesaplama maliyetini ızgara boyutu kadar katlayacaktı.</w:t>
      </w:r>
    </w:p>
    <w:p>
      <w:pPr>
        <w:jc w:val="both"/>
      </w:pPr>
      <w:r>
        <w:rPr>
          <w:b/>
        </w:rPr>
        <w:t>İkincisi, geliştirme kümesi tek tanı yüzeyimizdir.</w:t>
      </w:r>
      <w:r>
        <w:rPr/>
        <w:t xml:space="preserve"> Test kümesi tek kullanımlıktır (§2.6), dolayısıyla geliştirme kümesi hem hata çözümlemesinin hem de tasarımın dayandığı tek kaynaktır. Geliştirme kümesi üzerinde bir tarama yapılsaydı, bu küme aynı zamanda bir </w:t>
      </w:r>
      <w:r>
        <w:rPr>
          <w:i/>
        </w:rPr>
        <w:t>seçim</w:t>
      </w:r>
      <w:r>
        <w:rPr/>
        <w:t xml:space="preserve"> kaynağına dönüşür ve sonrasında üzerinde ölçülen her sayı, miktarı ölçülemeyen bir iyimserlik taşırdı.</w:t>
      </w:r>
    </w:p>
    <w:p>
      <w:pPr>
        <w:jc w:val="both"/>
      </w:pPr>
      <w:r>
        <w:rPr>
          <w:b/>
        </w:rPr>
        <w:t>Üçüncüsü, atfedilebilirlik.</w:t>
      </w:r>
      <w:r>
        <w:rPr/>
        <w:t xml:space="preserve"> Bütün kollarda yapılandırma birebir aynı olduğu için, kollar arasındaki her fark müdahaleye atfedilebilir. Yapılandırma kollar arasında değişseydi, gözlenen farkın müdahaleden mi yoksa hiperparametreden mi kaynaklandığı ayrıştırılamazdı.</w:t>
      </w:r>
    </w:p>
    <w:p>
      <w:pPr>
        <w:jc w:val="both"/>
      </w:pPr>
      <w:r>
        <w:rPr>
          <w:b/>
        </w:rPr>
        <w:t>Dördüncüsü, kullanılan değerler bize ait değildir.</w:t>
      </w:r>
      <w:r>
        <w:rPr/>
        <w:t xml:space="preserve"> 3 devir, 2 × 10⁻⁵ öğrenme oranı, 32 yığın boyutu ve %10 ısınma, BERT ailesi için yayımlanmış standart ince ayar reçetesidir. Bu değerlerin bizim tarafımızdan hiç ayarlanmamış olması, geliştirme kümesinin kirlenmesine karşı en temiz savunmadır.</w:t>
      </w:r>
    </w:p>
    <w:p>
      <w:pPr>
        <w:jc w:val="both"/>
      </w:pPr>
      <w:r>
        <w:rPr/>
        <w:t xml:space="preserve">Aynı gerekçeyle </w:t>
      </w:r>
      <w:r>
        <w:rPr>
          <w:b/>
        </w:rPr>
        <w:t>sınıf ağırlıklandırma uygulanmamış ve karar eşiği 0,5'te sabit tutulmuştur.</w:t>
      </w:r>
      <w:r>
        <w:rPr/>
        <w:t xml:space="preserve"> Eşiğin ayarlanması, modelin kendi güven değerlerini bozar; oysa Bölüm 4'teki kalibrasyon ve seçici tahmin çözümlemesi tam olarak bu güven değerlerinin niteliğini ölçmektedir. Eşik önceden ayarlansaydı, o çözümleme kendi müdahalesini ölçüyor olurdu.</w:t>
      </w:r>
    </w:p>
    <w:p>
      <w:pPr>
        <w:pStyle w:val="Balk3"/>
      </w:pPr>
      <w:r>
        <w:t>Denetim noktası seçimi — açıkça belirtilmesi gereken bir nokta</w:t>
      </w:r>
    </w:p>
    <w:p>
      <w:pPr>
        <w:jc w:val="both"/>
      </w:pPr>
      <w:r>
        <w:rPr/>
        <w:t xml:space="preserve">Üç devrin sonunda, geliştirme kümesindeki makro-F1'e göre en iyi devir seçilir ve değerlendirme bu denetim noktası üzerinden yapılır. Bu, geliştirme kümesine dayanan </w:t>
      </w:r>
      <w:r>
        <w:rPr>
          <w:b/>
        </w:rPr>
        <w:t>bir</w:t>
      </w:r>
      <w:r>
        <w:rPr/>
        <w:t xml:space="preserve"> seçim işlemidir ve gizlenmemelidir. Kapsamı üç seçenekle sınırlıdır ve bütün kollara aynı biçimde uygulanır.</w:t>
      </w:r>
    </w:p>
    <w:p>
      <w:pPr>
        <w:jc w:val="both"/>
      </w:pPr>
      <w:r>
        <w:rPr/>
        <w:t xml:space="preserve">Temel modelde 1. ve 3. devirler makro-F1 üzerinde </w:t>
      </w:r>
      <w:r>
        <w:rPr>
          <w:b/>
        </w:rPr>
        <w:t>birebir eşitlenmiştir</w:t>
      </w:r>
      <w:r>
        <w:rPr/>
        <w:t xml:space="preserve"> (aynı karışıklık matrisi), ancak 4.764 geliştirme satırının 198'inde farklı kararlar vermektedirler; seçim kuralı ilk devri almıştır. Bu nedenle 285 yanlış negatifin en fazla 43'ü denetim noktasına özgüdür. Raporlanan bütün temel model sayıları 1. devre aittir; savunma çeşitlemesi (</w:t>
      </w:r>
      <w:r>
        <w:rPr>
          <w:i/>
        </w:rPr>
        <w:t>+1a+1b+D</w:t>
      </w:r>
      <w:r>
        <w:rPr/>
        <w:t>) 3. devre aittir.</w:t>
      </w:r>
    </w:p>
    <w:p>
      <w:pPr>
        <w:jc w:val="both"/>
      </w:pPr>
      <w:r>
        <w:rPr>
          <w:i/>
        </w:rPr>
        <w:t xml:space="preserve">Kaynak: </w:t>
      </w:r>
      <w:r>
        <w:rPr>
          <w:i/>
        </w:rPr>
        <w:t>results/01_baseline_berturk/metrics.json</w:t>
      </w:r>
      <w:r>
        <w:rPr>
          <w:i/>
        </w:rPr>
        <w:t xml:space="preserve"> (</w:t>
      </w:r>
      <w:r>
        <w:rPr>
          <w:i/>
        </w:rPr>
        <w:t>checkpoint_tie</w:t>
      </w:r>
      <w:r>
        <w:rPr>
          <w:i/>
        </w:rPr>
        <w:t xml:space="preserve"> alanı); </w:t>
      </w:r>
      <w:r>
        <w:rPr>
          <w:i/>
        </w:rPr>
        <w:t>docs/RESULTS_LOG.md</w:t>
      </w:r>
      <w:r>
        <w:rPr>
          <w:i/>
        </w:rPr>
        <w:t xml:space="preserve">, 2026-08-15 BERTurk satırı; denetim noktası kimlikleri </w:t>
      </w:r>
      <w:r>
        <w:rPr>
          <w:i/>
        </w:rPr>
        <w:t>results/05_final_test/raw_output.txt</w:t>
      </w:r>
      <w:r>
        <w:rPr>
          <w:i/>
        </w:rPr>
        <w:t xml:space="preserve"> içinde yeniden basılmıştır.</w:t>
      </w:r>
    </w:p>
    <w:p>
      <w:pPr>
        <w:pStyle w:val="Balk2"/>
      </w:pPr>
      <w:r>
        <w:t>2.2 Bölünmenin dondurulması</w:t>
      </w:r>
    </w:p>
    <w:p>
      <w:pPr>
        <w:jc w:val="both"/>
      </w:pPr>
      <w:r>
        <w:rPr/>
        <w:t>Eğitim/geliştirme bölünmesi (§1.3) bir kez üretilir, bir dosyaya yazılır ve sonrasında yalnızca okunur. Bunu sağlayan üç mekanizma vardır.</w:t>
      </w:r>
    </w:p>
    <w:p>
      <w:pPr>
        <w:jc w:val="both"/>
      </w:pPr>
      <w:r>
        <w:rPr>
          <w:b/>
        </w:rPr>
        <w:t>Sıralama bağımsızlığı.</w:t>
      </w:r>
      <w:r>
        <w:rPr/>
        <w:t xml:space="preserve"> Satırlar, karıştırılmadan önce her etiket kovası içinde kimliğe göre sıralanır. Böylece bölünme, dosyanın okunma sırasına bağlı değildir; okuyucu kodunda ileride yapılacak bir değişiklik örnekleri sessizce eğitim ile geliştirme arasında taşıyamaz.</w:t>
      </w:r>
    </w:p>
    <w:p>
      <w:pPr>
        <w:jc w:val="both"/>
      </w:pPr>
      <w:r>
        <w:rPr>
          <w:b/>
        </w:rPr>
        <w:t>Derlem doğrulaması.</w:t>
      </w:r>
      <w:r>
        <w:rPr/>
        <w:t xml:space="preserve"> Bölünme dosyası, üretildiği derlemin SHA-256 özetini saklar. Yükleme sırasında bu özet yeniden hesaplanır; uyuşmazlık varsa işlem hata verir. Farklı baytlar üzerine kurulmuş bir bölünmeyle ölçüm yapılması mümkün değildir.</w:t>
      </w:r>
    </w:p>
    <w:p>
      <w:pPr>
        <w:jc w:val="both"/>
      </w:pPr>
      <w:r>
        <w:rPr>
          <w:b/>
        </w:rPr>
        <w:t>Kayma göstergesi.</w:t>
      </w:r>
      <w:r>
        <w:rPr/>
        <w:t xml:space="preserve"> Yükleme sırasında bölünme ayrıca yeniden üretilir ve kaydedilen bölünmeyle karşılaştırılır; sonuç </w:t>
      </w:r>
      <w:r>
        <w:rPr>
          <w:i/>
        </w:rPr>
        <w:t>matches_regeneration</w:t>
      </w:r>
      <w:r>
        <w:rPr/>
        <w:t xml:space="preserve"> alanına yazılır. Bu alan, bölme algoritmasının kendisi değişmiş olsaydı bunu görünür kılar. Raporlanan bütün çalıştırmalarda değeri </w:t>
      </w:r>
      <w:r>
        <w:rPr>
          <w:i/>
        </w:rPr>
        <w:t>True</w:t>
      </w:r>
      <w:r>
        <w:rPr/>
        <w:t>'dur.</w:t>
      </w:r>
    </w:p>
    <w:p>
      <w:pPr>
        <w:jc w:val="both"/>
      </w:pPr>
      <w:r>
        <w:rPr/>
        <w:t>Ayrıca eğitim ve geliştirme kümelerinin kesişimi her yüklemede denetlenir ve geliştirme kümesinin parmak izi (§1.3) sonuç dosyalarına yazılır. Savunma ve kalibrasyon sürücüleri, parmak izi beklenen değerden farklıysa çalışmayı başlatmadan durur.</w:t>
      </w:r>
    </w:p>
    <w:p>
      <w:pPr>
        <w:pStyle w:val="Balk2"/>
      </w:pPr>
      <w:r>
        <w:t>2.3 Dondurulmuş sözlük ve dilim etiketleme</w:t>
      </w:r>
    </w:p>
    <w:p>
      <w:pPr>
        <w:jc w:val="both"/>
      </w:pPr>
      <w:r>
        <w:rPr/>
        <w:t>Sözlük (§1.2), ilk ölçümden önce dondurulmuş ve sonrasında değiştirilmemiştir. Dilim etiketleri (</w:t>
      </w:r>
      <w:r>
        <w:rPr>
          <w:i/>
        </w:rPr>
        <w:t>lexicon_hit</w:t>
      </w:r>
      <w:r>
        <w:rPr/>
        <w:t xml:space="preserve"> / </w:t>
      </w:r>
      <w:r>
        <w:rPr>
          <w:i/>
        </w:rPr>
        <w:t>lexicon_free</w:t>
      </w:r>
      <w:r>
        <w:rPr/>
        <w:t xml:space="preserve">), tek bir işlevden — </w:t>
      </w:r>
      <w:r>
        <w:rPr>
          <w:i/>
        </w:rPr>
        <w:t>lexicon.hit_root</w:t>
      </w:r>
      <w:r>
        <w:rPr/>
        <w:t xml:space="preserve"> — üretilir. Bu işlev, dilimleri kullanan her yerde içe aktarılır; hiçbir yerde yeniden yazılmaz. Gerekçe basittir: eşleşme kuralının ikinci bir kopyası, zamanla ilkinden ayrılmakta serbest olurdu ve bu ayrışma hiçbir toplam ölçütte görünmezdi. Aynı ilke çevrimdışı gösterim uygulamasında da korunmuştur.</w:t>
      </w:r>
    </w:p>
    <w:p>
      <w:pPr>
        <w:jc w:val="both"/>
      </w:pPr>
      <w:r>
        <w:rPr/>
        <w:t xml:space="preserve">Her çalıştırmanın başında bir </w:t>
      </w:r>
      <w:r>
        <w:rPr>
          <w:b/>
        </w:rPr>
        <w:t>sağlamlık kapısı</w:t>
      </w:r>
      <w:r>
        <w:rPr/>
        <w:t xml:space="preserve"> işletilir: tam derlem üzerinde sözlüksüz </w:t>
      </w:r>
      <w:r>
        <w:rPr>
          <w:i/>
        </w:rPr>
        <w:t>OFF</w:t>
      </w:r>
      <w:r>
        <w:rPr/>
        <w:t xml:space="preserve"> sayısı yeniden hesaplanır ve Gün 1'de dondurulan 3.892 / 6.131 değerleriyle karşılaştırılır. Uyuşmazlık halinde çalıştırma başlamaz. Böylece raporlanan hiçbir sayı, dondurulmuş kayıttan farklı bir etiketleyiciyle üretilemez.</w:t>
      </w:r>
    </w:p>
    <w:p>
      <w:pPr>
        <w:pStyle w:val="Balk2"/>
      </w:pPr>
      <w:r>
        <w:t>2.4 Döngüsellik karşıtı protokol</w:t>
      </w:r>
    </w:p>
    <w:p>
      <w:pPr>
        <w:jc w:val="both"/>
      </w:pPr>
      <w:r>
        <w:rPr/>
        <w:t>Bu çalışmanın merkezî riski, bir sayının kendi türetildiği veriden ölçülmesidir. Protokol üç ayrı yerde bu riski keser.</w:t>
      </w:r>
    </w:p>
    <w:p>
      <w:pPr>
        <w:pStyle w:val="Balk3"/>
      </w:pPr>
      <w:r>
        <w:t>2.4.1 Veri rollerinin ayrılması</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Kaynak</w:t>
            </w:r>
          </w:p>
        </w:tc>
        <w:tc>
          <w:tcPr>
            <w:tcW w:type="dxa" w:w="4536"/>
          </w:tcPr>
          <w:p>
            <w:pPr>
              <w:spacing w:after="0"/>
            </w:pPr>
            <w:r>
              <w:rPr>
                <w:b/>
              </w:rPr>
              <w:t>İzin verilen kullanım</w:t>
            </w:r>
          </w:p>
        </w:tc>
      </w:tr>
      <w:tr>
        <w:tc>
          <w:tcPr>
            <w:tcW w:type="dxa" w:w="4536"/>
          </w:tcPr>
          <w:p>
            <w:pPr>
              <w:spacing w:after="0"/>
            </w:pPr>
            <w:r>
              <w:rPr/>
              <w:t>Eğitim bölümü (26.992 satır)</w:t>
            </w:r>
          </w:p>
        </w:tc>
        <w:tc>
          <w:tcPr>
            <w:tcW w:type="dxa" w:w="4536"/>
          </w:tcPr>
          <w:p>
            <w:pPr>
              <w:spacing w:after="0"/>
            </w:pPr>
            <w:r>
              <w:rPr/>
              <w:t>model eğitimi; veri türetme; hata çözümlemesi</w:t>
            </w:r>
          </w:p>
        </w:tc>
      </w:tr>
      <w:tr>
        <w:tc>
          <w:tcPr>
            <w:tcW w:type="dxa" w:w="4536"/>
          </w:tcPr>
          <w:p>
            <w:pPr>
              <w:spacing w:after="0"/>
            </w:pPr>
            <w:r>
              <w:rPr/>
              <w:t>Geliştirme bölümü (4.764 satır)</w:t>
            </w:r>
          </w:p>
        </w:tc>
        <w:tc>
          <w:tcPr>
            <w:tcW w:type="dxa" w:w="4536"/>
          </w:tcPr>
          <w:p>
            <w:pPr>
              <w:spacing w:after="0"/>
            </w:pPr>
            <w:r>
              <w:rPr/>
              <w:t>tanı, tasarım kararları, eşik seçimi, raporlanan geliştirme sayıları</w:t>
            </w:r>
          </w:p>
        </w:tc>
      </w:tr>
      <w:tr>
        <w:tc>
          <w:tcPr>
            <w:tcW w:type="dxa" w:w="4536"/>
          </w:tcPr>
          <w:p>
            <w:pPr>
              <w:spacing w:after="0"/>
            </w:pPr>
            <w:r>
              <w:rPr/>
              <w:t>Resmî test kümesi (3.528 satır)</w:t>
            </w:r>
          </w:p>
        </w:tc>
        <w:tc>
          <w:tcPr>
            <w:tcW w:type="dxa" w:w="4536"/>
          </w:tcPr>
          <w:p>
            <w:pPr>
              <w:spacing w:after="0"/>
            </w:pPr>
            <w:r>
              <w:rPr/>
              <w:t>yalnızca nihai ölçüm, tek sefer</w:t>
            </w:r>
          </w:p>
        </w:tc>
      </w:tr>
    </w:tbl>
    <w:p>
      <w:pPr>
        <w:pStyle w:val="Balk3"/>
      </w:pPr>
      <w:r>
        <w:t>2.4.2 Eğitim ve değerlendirme gizleme ailelerinin ayrıklığı</w:t>
      </w:r>
    </w:p>
    <w:p>
      <w:pPr>
        <w:jc w:val="both"/>
      </w:pPr>
      <w:r>
        <w:rPr/>
        <w:t>Savunmanın ikinci bileşeni, sözlükte eşleşen belirteçleri bozarak gizleme saldırılarına karşı dayanıklılık kazandırmayı amaçlar. Böyle bir kurgunun açık tuzağı, modelin eğitildiği bozma işleçleriyle sınanmasıdır; bu durumda ölçülen şey dayanıklılık değil, ezberdir.</w:t>
      </w:r>
    </w:p>
    <w:p>
      <w:pPr>
        <w:jc w:val="both"/>
      </w:pPr>
      <w:r>
        <w:rPr/>
        <w:t xml:space="preserve">İşleçler bu nedenle iki </w:t>
      </w:r>
      <w:r>
        <w:rPr>
          <w:b/>
        </w:rPr>
        <w:t>ayrık</w:t>
      </w:r>
      <w:r>
        <w:rPr/>
        <w:t xml:space="preserve"> aileye bölünmüştür:</w:t>
      </w:r>
    </w:p>
    <w:tbl>
      <w:tblPr>
        <w:tblStyle w:val="TableNormal"/>
        <w:tblW w:type="auto" w:w="0"/>
        <w:jc w:val="left"/>
        <w:tblLayout w:type="autofit"/>
        <w:tblLook w:firstColumn="1" w:firstRow="1" w:lastColumn="0" w:lastRow="0" w:noHBand="0" w:noVBand="1" w:val="04A0"/>
      </w:tblPr>
      <w:tblGrid>
        <w:gridCol w:w="3024"/>
        <w:gridCol w:w="3024"/>
        <w:gridCol w:w="3024"/>
      </w:tblGrid>
      <w:tr>
        <w:tc>
          <w:tcPr>
            <w:tcW w:type="dxa" w:w="3024"/>
          </w:tcPr>
          <w:p>
            <w:pPr>
              <w:spacing w:after="0"/>
            </w:pPr>
            <w:r>
              <w:rPr>
                <w:b/>
              </w:rPr>
              <w:t>Aile</w:t>
            </w:r>
          </w:p>
        </w:tc>
        <w:tc>
          <w:tcPr>
            <w:tcW w:type="dxa" w:w="3024"/>
          </w:tcPr>
          <w:p>
            <w:pPr>
              <w:spacing w:after="0"/>
            </w:pPr>
            <w:r>
              <w:rPr>
                <w:b/>
              </w:rPr>
              <w:t>Kullanım</w:t>
            </w:r>
          </w:p>
        </w:tc>
        <w:tc>
          <w:tcPr>
            <w:tcW w:type="dxa" w:w="3024"/>
          </w:tcPr>
          <w:p>
            <w:pPr>
              <w:spacing w:after="0"/>
            </w:pPr>
            <w:r>
              <w:rPr>
                <w:b/>
              </w:rPr>
              <w:t>İşleçler</w:t>
            </w:r>
          </w:p>
        </w:tc>
      </w:tr>
      <w:tr>
        <w:tc>
          <w:tcPr>
            <w:tcW w:type="dxa" w:w="3024"/>
          </w:tcPr>
          <w:p>
            <w:pPr>
              <w:spacing w:after="0"/>
            </w:pPr>
            <w:r>
              <w:rPr>
                <w:b/>
              </w:rPr>
              <w:t>D</w:t>
            </w:r>
          </w:p>
        </w:tc>
        <w:tc>
          <w:tcPr>
            <w:tcW w:type="dxa" w:w="3024"/>
          </w:tcPr>
          <w:p>
            <w:pPr>
              <w:spacing w:after="0"/>
            </w:pPr>
            <w:r>
              <w:rPr/>
              <w:t>yalnızca eğitim</w:t>
            </w:r>
          </w:p>
        </w:tc>
        <w:tc>
          <w:tcPr>
            <w:tcW w:type="dxa" w:w="3024"/>
          </w:tcPr>
          <w:p>
            <w:pPr>
              <w:spacing w:after="0"/>
            </w:pPr>
            <w:r>
              <w:rPr/>
              <w:t>ünlü düşürme (</w:t>
            </w:r>
            <w:r>
              <w:rPr>
                <w:i/>
              </w:rPr>
              <w:t>sik</w:t>
            </w:r>
            <w:r>
              <w:rPr/>
              <w:t xml:space="preserve"> → </w:t>
            </w:r>
            <w:r>
              <w:rPr>
                <w:i/>
              </w:rPr>
              <w:t>sk</w:t>
            </w:r>
            <w:r>
              <w:rPr/>
              <w:t>), göz-benzeri karakter değişimi (</w:t>
            </w:r>
            <w:r>
              <w:rPr>
                <w:i/>
              </w:rPr>
              <w:t>aptal</w:t>
            </w:r>
            <w:r>
              <w:rPr/>
              <w:t xml:space="preserve"> → </w:t>
            </w:r>
            <w:r>
              <w:rPr>
                <w:i/>
              </w:rPr>
              <w:t>4ptal</w:t>
            </w:r>
            <w:r>
              <w:rPr/>
              <w:t>), karakter yineleme (</w:t>
            </w:r>
            <w:r>
              <w:rPr>
                <w:i/>
              </w:rPr>
              <w:t>aptal</w:t>
            </w:r>
            <w:r>
              <w:rPr/>
              <w:t xml:space="preserve"> → </w:t>
            </w:r>
            <w:r>
              <w:rPr>
                <w:i/>
              </w:rPr>
              <w:t>aptaal</w:t>
            </w:r>
            <w:r>
              <w:rPr/>
              <w:t>)</w:t>
            </w:r>
          </w:p>
        </w:tc>
      </w:tr>
      <w:tr>
        <w:tc>
          <w:tcPr>
            <w:tcW w:type="dxa" w:w="3024"/>
          </w:tcPr>
          <w:p>
            <w:pPr>
              <w:spacing w:after="0"/>
            </w:pPr>
            <w:r>
              <w:rPr>
                <w:b/>
              </w:rPr>
              <w:t>H</w:t>
            </w:r>
          </w:p>
        </w:tc>
        <w:tc>
          <w:tcPr>
            <w:tcW w:type="dxa" w:w="3024"/>
          </w:tcPr>
          <w:p>
            <w:pPr>
              <w:spacing w:after="0"/>
            </w:pPr>
            <w:r>
              <w:rPr/>
              <w:t>yalnızca değerlendirme</w:t>
            </w:r>
          </w:p>
        </w:tc>
        <w:tc>
          <w:tcPr>
            <w:tcW w:type="dxa" w:w="3024"/>
          </w:tcPr>
          <w:p>
            <w:pPr>
              <w:spacing w:after="0"/>
            </w:pPr>
            <w:r>
              <w:rPr/>
              <w:t>ayırma (</w:t>
            </w:r>
            <w:r>
              <w:rPr>
                <w:i/>
              </w:rPr>
              <w:t>aptal</w:t>
            </w:r>
            <w:r>
              <w:rPr/>
              <w:t xml:space="preserve"> → </w:t>
            </w:r>
            <w:r>
              <w:rPr>
                <w:i/>
              </w:rPr>
              <w:t>a.p.t.a.l</w:t>
            </w:r>
            <w:r>
              <w:rPr/>
              <w:t>), aksan kaldırma (</w:t>
            </w:r>
            <w:r>
              <w:rPr>
                <w:i/>
              </w:rPr>
              <w:t>şerefsiz</w:t>
            </w:r>
            <w:r>
              <w:rPr/>
              <w:t xml:space="preserve"> → </w:t>
            </w:r>
            <w:r>
              <w:rPr>
                <w:i/>
              </w:rPr>
              <w:t>serefsiz</w:t>
            </w:r>
            <w:r>
              <w:rPr/>
              <w:t>), bitişik karakter yer değiştirme (</w:t>
            </w:r>
            <w:r>
              <w:rPr>
                <w:i/>
              </w:rPr>
              <w:t>aptal</w:t>
            </w:r>
            <w:r>
              <w:rPr/>
              <w:t xml:space="preserve"> → </w:t>
            </w:r>
            <w:r>
              <w:rPr>
                <w:i/>
              </w:rPr>
              <w:t>atpal</w:t>
            </w:r>
            <w:r>
              <w:rPr/>
              <w:t>)</w:t>
            </w:r>
          </w:p>
        </w:tc>
      </w:tr>
    </w:tbl>
    <w:p>
      <w:pPr>
        <w:jc w:val="both"/>
      </w:pPr>
      <w:r>
        <w:rPr/>
        <w:t xml:space="preserve">Ayrıklık bir kural değil, bir denetimdir: </w:t>
      </w:r>
      <w:r>
        <w:rPr>
          <w:i/>
        </w:rPr>
        <w:t>assert_disjoint(['D'], ['H'])</w:t>
      </w:r>
      <w:r>
        <w:rPr/>
        <w:t xml:space="preserve"> çağrısı, hem eğitim verisini üreten hem de dayanıklılık sayısı raporlayan betiklerin başında yer alır ve uyarı vermek yerine hata fırlatır. Bir defter çıktısındaki uyarı, denetim sayılmaz.</w:t>
      </w:r>
    </w:p>
    <w:p>
      <w:pPr>
        <w:jc w:val="both"/>
      </w:pPr>
      <w:r>
        <w:rPr>
          <w:i/>
        </w:rPr>
        <w:t xml:space="preserve">Kaynak: </w:t>
      </w:r>
      <w:r>
        <w:rPr>
          <w:i/>
        </w:rPr>
        <w:t>src/obfuscation.py</w:t>
      </w:r>
      <w:r>
        <w:rPr>
          <w:i/>
        </w:rPr>
        <w:t xml:space="preserve">; </w:t>
      </w:r>
      <w:r>
        <w:rPr>
          <w:i/>
        </w:rPr>
        <w:t>phases/03_defense_design.md</w:t>
      </w:r>
      <w:r>
        <w:rPr>
          <w:i/>
        </w:rPr>
        <w:t xml:space="preserve"> kısıt C3.</w:t>
      </w:r>
    </w:p>
    <w:p>
      <w:pPr>
        <w:pStyle w:val="Balk3"/>
      </w:pPr>
      <w:r>
        <w:t>2.4.3 Türetme kaynağının ayrılması — ve tasarım sırasında düzeltilen bir hata</w:t>
      </w:r>
    </w:p>
    <w:p>
      <w:pPr>
        <w:jc w:val="both"/>
      </w:pPr>
      <w:r>
        <w:rPr/>
        <w:t xml:space="preserve">Savunmanın 1b bileşeni, küfür içeren ancak saldırgan olmayan kullanımların şablonlarına dayanır. Bu şablonların </w:t>
      </w:r>
      <w:r>
        <w:rPr>
          <w:b/>
        </w:rPr>
        <w:t>hangi hatalardan</w:t>
      </w:r>
      <w:r>
        <w:rPr/>
        <w:t xml:space="preserve"> türetildiği yöntemsel olarak belirleyicidir.</w:t>
      </w:r>
    </w:p>
    <w:p>
      <w:pPr>
        <w:jc w:val="both"/>
      </w:pPr>
      <w:r>
        <w:rPr/>
        <w:t>İlk tasarımda şablonlar, geliştirme kümesindeki yanlış pozitiflerin işlev ailelerinden türetilmişti. Bu döngüseldir: şablonlar geliştirme kümesindeki hatalardan çıkarılıp yine geliştirme kümesinde ölçülseydi, raporlanan iyileşmenin bir bölümü modelin değil, şablonun kendisinin ölçümü olurdu. Hata, kod yazılmadan önce tasarım incelemesinde yakalanmış ve düzeltilmiştir.</w:t>
      </w:r>
    </w:p>
    <w:p>
      <w:pPr>
        <w:jc w:val="both"/>
      </w:pPr>
      <w:r>
        <w:rPr/>
        <w:t xml:space="preserve">Düzeltilmiş yordam şudur: eğitim bölümünün içinde, etikete göre tabakalı </w:t>
      </w:r>
      <w:r>
        <w:rPr>
          <w:b/>
        </w:rPr>
        <w:t>5 katlı çapraz doğrulama</w:t>
      </w:r>
      <w:r>
        <w:rPr/>
        <w:t xml:space="preserve"> yapılır; her kat için kalan dört kat üzerinde bir model eğitilir ve o kat üzerinde tahmin üretilir. Böylece 26.992 eğitim satırının tamamı için, o satırı görmemiş bir modelden gelen </w:t>
      </w:r>
      <w:r>
        <w:rPr>
          <w:b/>
        </w:rPr>
        <w:t>kat dışı</w:t>
      </w:r>
      <w:r>
        <w:rPr/>
        <w:t xml:space="preserve"> tahminler elde edilir. Bu, geliştirme kümesinin değerlendirildiği koşulun aynısıdır. Şablonlar yalnızca bu kat dışı hatalardan türetilir; geliştirme kümesi türetmede hiç kullanılmaz.</w:t>
      </w:r>
    </w:p>
    <w:p>
      <w:pPr>
        <w:jc w:val="both"/>
      </w:pPr>
      <w:r>
        <w:rPr/>
        <w:t>Kat dışı başarım, geliştirme başarımına yakındır — yordamın amaçlanan koşulu ürettiğinin göstergesi:</w:t>
      </w:r>
    </w:p>
    <w:tbl>
      <w:tblPr>
        <w:tblStyle w:val="TableNormal"/>
        <w:tblW w:type="auto" w:w="0"/>
        <w:jc w:val="left"/>
        <w:tblLayout w:type="autofit"/>
        <w:tblLook w:firstColumn="1" w:firstRow="1" w:lastColumn="0" w:lastRow="0" w:noHBand="0" w:noVBand="1" w:val="04A0"/>
      </w:tblPr>
      <w:tblGrid>
        <w:gridCol w:w="3024"/>
        <w:gridCol w:w="3024"/>
        <w:gridCol w:w="3024"/>
      </w:tblGrid>
      <w:tr>
        <w:tc>
          <w:tcPr>
            <w:tcW w:type="dxa" w:w="3024"/>
          </w:tcPr>
          <w:p>
            <w:pPr>
              <w:spacing w:after="0"/>
            </w:pPr>
          </w:p>
        </w:tc>
        <w:tc>
          <w:tcPr>
            <w:tcW w:type="dxa" w:w="3024"/>
          </w:tcPr>
          <w:p>
            <w:pPr>
              <w:spacing w:after="0"/>
            </w:pPr>
            <w:r>
              <w:rPr>
                <w:b/>
              </w:rPr>
              <w:t>Kat dışı (eğitim)</w:t>
            </w:r>
          </w:p>
        </w:tc>
        <w:tc>
          <w:tcPr>
            <w:tcW w:type="dxa" w:w="3024"/>
          </w:tcPr>
          <w:p>
            <w:pPr>
              <w:spacing w:after="0"/>
            </w:pPr>
            <w:r>
              <w:rPr>
                <w:b/>
              </w:rPr>
              <w:t>Geliştirme</w:t>
            </w:r>
          </w:p>
        </w:tc>
      </w:tr>
      <w:tr>
        <w:tc>
          <w:tcPr>
            <w:tcW w:type="dxa" w:w="3024"/>
          </w:tcPr>
          <w:p>
            <w:pPr>
              <w:spacing w:after="0"/>
            </w:pPr>
            <w:r>
              <w:rPr/>
              <w:t>Makro-F1</w:t>
            </w:r>
          </w:p>
        </w:tc>
        <w:tc>
          <w:tcPr>
            <w:tcW w:type="dxa" w:w="3024"/>
          </w:tcPr>
          <w:p>
            <w:pPr>
              <w:spacing w:after="0"/>
            </w:pPr>
            <w:r>
              <w:rPr/>
              <w:t>0,8230</w:t>
            </w:r>
          </w:p>
        </w:tc>
        <w:tc>
          <w:tcPr>
            <w:tcW w:type="dxa" w:w="3024"/>
          </w:tcPr>
          <w:p>
            <w:pPr>
              <w:spacing w:after="0"/>
            </w:pPr>
            <w:r>
              <w:rPr/>
              <w:t>0,8271</w:t>
            </w:r>
          </w:p>
        </w:tc>
      </w:tr>
      <w:tr>
        <w:tc>
          <w:tcPr>
            <w:tcW w:type="dxa" w:w="3024"/>
          </w:tcPr>
          <w:p>
            <w:pPr>
              <w:spacing w:after="0"/>
            </w:pPr>
            <w:r>
              <w:rPr>
                <w:i/>
              </w:rPr>
              <w:t>OFF</w:t>
            </w:r>
            <w:r>
              <w:rPr/>
              <w:t>-duyarlılık</w:t>
            </w:r>
          </w:p>
        </w:tc>
        <w:tc>
          <w:tcPr>
            <w:tcW w:type="dxa" w:w="3024"/>
          </w:tcPr>
          <w:p>
            <w:pPr>
              <w:spacing w:after="0"/>
            </w:pPr>
            <w:r>
              <w:rPr/>
              <w:t>0,6985</w:t>
            </w:r>
          </w:p>
        </w:tc>
        <w:tc>
          <w:tcPr>
            <w:tcW w:type="dxa" w:w="3024"/>
          </w:tcPr>
          <w:p>
            <w:pPr>
              <w:spacing w:after="0"/>
            </w:pPr>
            <w:r>
              <w:rPr/>
              <w:t>0,6902</w:t>
            </w:r>
          </w:p>
        </w:tc>
      </w:tr>
      <w:tr>
        <w:tc>
          <w:tcPr>
            <w:tcW w:type="dxa" w:w="3024"/>
          </w:tcPr>
          <w:p>
            <w:pPr>
              <w:spacing w:after="0"/>
            </w:pPr>
            <w:r>
              <w:rPr>
                <w:i/>
              </w:rPr>
              <w:t>OFF</w:t>
            </w:r>
            <w:r>
              <w:rPr/>
              <w:t>-kesinlik</w:t>
            </w:r>
          </w:p>
        </w:tc>
        <w:tc>
          <w:tcPr>
            <w:tcW w:type="dxa" w:w="3024"/>
          </w:tcPr>
          <w:p>
            <w:pPr>
              <w:spacing w:after="0"/>
            </w:pPr>
            <w:r>
              <w:rPr/>
              <w:t>0,7280</w:t>
            </w:r>
          </w:p>
        </w:tc>
        <w:tc>
          <w:tcPr>
            <w:tcW w:type="dxa" w:w="3024"/>
          </w:tcPr>
          <w:p>
            <w:pPr>
              <w:spacing w:after="0"/>
            </w:pPr>
            <w:r>
              <w:rPr/>
              <w:t>0,7488</w:t>
            </w:r>
          </w:p>
        </w:tc>
      </w:tr>
    </w:tbl>
    <w:p>
      <w:pPr>
        <w:jc w:val="both"/>
      </w:pPr>
      <w:r>
        <w:rPr/>
        <w:t xml:space="preserve">Kat dışı çözümleme 1.360 yanlış pozitif (251 </w:t>
      </w:r>
      <w:r>
        <w:rPr>
          <w:i/>
        </w:rPr>
        <w:t>lexicon_hit</w:t>
      </w:r>
      <w:r>
        <w:rPr/>
        <w:t xml:space="preserve">, 1.109 </w:t>
      </w:r>
      <w:r>
        <w:rPr>
          <w:i/>
        </w:rPr>
        <w:t>lexicon_free</w:t>
      </w:r>
      <w:r>
        <w:rPr/>
        <w:t xml:space="preserve">) ve 1.571 yanlış negatif üretmiştir. </w:t>
      </w:r>
      <w:r>
        <w:rPr>
          <w:i/>
        </w:rPr>
        <w:t>lexicon_hit</w:t>
      </w:r>
      <w:r>
        <w:rPr/>
        <w:t xml:space="preserve"> yanlış pozitiflerinden tohumlanmış rastgele 60'ı işlevlerine göre etiketlenmiştir: anlam çakışması %52, yönlendirilmemiş %18, dolgu %17, alıntı %5, üstdil %3, kalan %5.</w:t>
      </w:r>
    </w:p>
    <w:p>
      <w:pPr>
        <w:jc w:val="both"/>
      </w:pPr>
      <w:r>
        <w:rPr/>
        <w:t xml:space="preserve">Geliştirme kümesi bu aşamada yalnızca </w:t>
      </w:r>
      <w:r>
        <w:rPr>
          <w:b/>
        </w:rPr>
        <w:t>tek bir amaçla</w:t>
      </w:r>
      <w:r>
        <w:rPr/>
        <w:t xml:space="preserve"> kullanılmıştır: eğitim tarafındaki aile dağılımının geliştirme tarafındakine benzeyip benzemediğini görmek, yani tanının genellenip genellenmediğini denetlemek. Türetme için kullanılmamıştır. Eğitim tarafı ayrıca geliştirme kümesinde hiç görülmeyen iki örüntü ortaya çıkarmıştır: insan olmayan bir hedefe yöneltilen sövgü (</w:t>
      </w:r>
      <w:r>
        <w:rPr>
          <w:i/>
        </w:rPr>
        <w:t>sinüzit kadar şerefsiz bişey yok</w:t>
      </w:r>
      <w:r>
        <w:rPr/>
        <w:t>) ve tarz belirten ikileme kullanımı (</w:t>
      </w:r>
      <w:r>
        <w:rPr>
          <w:i/>
        </w:rPr>
        <w:t>salak salak gülmek</w:t>
      </w:r>
      <w:r>
        <w:rPr/>
        <w:t>). Her ikisi de işleç kümesine girmiştir.</w:t>
      </w:r>
    </w:p>
    <w:p>
      <w:pPr>
        <w:jc w:val="both"/>
      </w:pPr>
      <w:r>
        <w:rPr>
          <w:i/>
        </w:rPr>
        <w:t xml:space="preserve">Kaynak: </w:t>
      </w:r>
      <w:r>
        <w:rPr>
          <w:i/>
        </w:rPr>
        <w:t>docs/RESULTS_LOG.md</w:t>
      </w:r>
      <w:r>
        <w:rPr>
          <w:i/>
        </w:rPr>
        <w:t xml:space="preserve">, 2026-08-15 "Phase 03 step 1" satırı; </w:t>
      </w:r>
      <w:r>
        <w:rPr>
          <w:i/>
        </w:rPr>
        <w:t>phases/03_defense_design.md</w:t>
      </w:r>
      <w:r>
        <w:rPr>
          <w:i/>
        </w:rPr>
        <w:t xml:space="preserve"> kısıt C1.</w:t>
      </w:r>
    </w:p>
    <w:p>
      <w:pPr>
        <w:pStyle w:val="Balk3"/>
      </w:pPr>
      <w:r>
        <w:t>2.4.4 Üretilen eğitim verisinin gözle denetimi</w:t>
      </w:r>
    </w:p>
    <w:p>
      <w:pPr>
        <w:jc w:val="both"/>
      </w:pPr>
      <w:r>
        <w:rPr/>
        <w:t>Üretilen satırlar, eğitime girmeden önce okunmuştur. Bu, biçimsel bir adım değildir: okuma sırasında üç ayrı kusur yakalanmış ve her biri bir kurala ve bir gerileme testine dönüştürülmüştür — (i) sözlükte yanlış eşleşen köklerin maskelenmesi (</w:t>
      </w:r>
      <w:r>
        <w:rPr>
          <w:i/>
        </w:rPr>
        <w:t>malsef</w:t>
      </w:r>
      <w:r>
        <w:rPr/>
        <w:t xml:space="preserve"> sözcüğünün </w:t>
      </w:r>
      <w:r>
        <w:rPr>
          <w:i/>
        </w:rPr>
        <w:t>mal</w:t>
      </w:r>
      <w:r>
        <w:rPr/>
        <w:t xml:space="preserve"> üzerinden eşleşmesi gibi), (ii) küfrün kendisinin saldırının taşıyıcısı olduğu satırların da maskelenmesi, (iii) tümce ortasına yapılan eklemelerin dilbilgisi dışı satırlar üretmesi. Hiçbiri toplam bir ölçütte görünür olmazdı.</w:t>
      </w:r>
    </w:p>
    <w:p>
      <w:pPr>
        <w:jc w:val="both"/>
      </w:pPr>
      <w:r>
        <w:rPr/>
        <w:t xml:space="preserve">Süzgeç bilinçli olarak dar tutulmuştur: 5.211 altın </w:t>
      </w:r>
      <w:r>
        <w:rPr>
          <w:i/>
        </w:rPr>
        <w:t>OFF</w:t>
      </w:r>
      <w:r>
        <w:rPr/>
        <w:t xml:space="preserve"> satırının yalnızca 382'si (%7) 1a için uygun bulunmuştur. Gerekçe, </w:t>
      </w:r>
      <w:r>
        <w:rPr>
          <w:i/>
        </w:rPr>
        <w:t>phases/03_defense_design.md</w:t>
      </w:r>
      <w:r>
        <w:rPr/>
        <w:t xml:space="preserve"> kısıt C2'de şöyle kayıtlıdır: </w:t>
      </w:r>
      <w:r>
        <w:rPr>
          <w:i/>
        </w:rPr>
        <w:t>az sayıda temiz satır, çok sayıda gürültülü satırdan iyidir.</w:t>
      </w:r>
    </w:p>
    <w:p>
      <w:pPr>
        <w:jc w:val="both"/>
      </w:pPr>
      <w:r>
        <w:rPr>
          <w:i/>
        </w:rPr>
        <w:t xml:space="preserve">Kaynak: </w:t>
      </w:r>
      <w:r>
        <w:rPr>
          <w:i/>
        </w:rPr>
        <w:t>results/03_defense/augmentation_review.json</w:t>
      </w:r>
      <w:r>
        <w:rPr>
          <w:i/>
        </w:rPr>
        <w:t xml:space="preserve">; </w:t>
      </w:r>
      <w:r>
        <w:rPr>
          <w:i/>
        </w:rPr>
        <w:t>docs/RESULTS_LOG.md</w:t>
      </w:r>
      <w:r>
        <w:rPr>
          <w:i/>
        </w:rPr>
        <w:t>, 2026-08-15 "Phase 03 step 2" satırı.</w:t>
      </w:r>
    </w:p>
    <w:p>
      <w:pPr>
        <w:pStyle w:val="Balk2"/>
      </w:pPr>
      <w:r>
        <w:t>2.5 Ön kayıt uygulaması</w:t>
      </w:r>
    </w:p>
    <w:p>
      <w:pPr>
        <w:jc w:val="both"/>
      </w:pPr>
      <w:r>
        <w:rPr/>
        <w:t>Ölçüm yapılmadan önce yazılan ve sonrasında değiştirilmeyen kararlar, tarih damgalı olarak sürüm denetimine işlenmiştir. Uygulanan ön kayıtlar:</w:t>
      </w:r>
    </w:p>
    <w:tbl>
      <w:tblPr>
        <w:tblStyle w:val="TableNormal"/>
        <w:tblW w:type="auto" w:w="0"/>
        <w:jc w:val="left"/>
        <w:tblLayout w:type="autofit"/>
        <w:tblLook w:firstColumn="1" w:firstRow="1" w:lastColumn="0" w:lastRow="0" w:noHBand="0" w:noVBand="1" w:val="04A0"/>
      </w:tblPr>
      <w:tblGrid>
        <w:gridCol w:w="4536"/>
        <w:gridCol w:w="4536"/>
      </w:tblGrid>
      <w:tr>
        <w:tc>
          <w:tcPr>
            <w:tcW w:type="dxa" w:w="4536"/>
          </w:tcPr>
          <w:p>
            <w:pPr>
              <w:spacing w:after="0"/>
            </w:pPr>
            <w:r>
              <w:rPr>
                <w:b/>
              </w:rPr>
              <w:t>Belge</w:t>
            </w:r>
          </w:p>
        </w:tc>
        <w:tc>
          <w:tcPr>
            <w:tcW w:type="dxa" w:w="4536"/>
          </w:tcPr>
          <w:p>
            <w:pPr>
              <w:spacing w:after="0"/>
            </w:pPr>
            <w:r>
              <w:rPr>
                <w:b/>
              </w:rPr>
              <w:t>Sabitlenen karar</w:t>
            </w:r>
          </w:p>
        </w:tc>
      </w:tr>
      <w:tr>
        <w:tc>
          <w:tcPr>
            <w:tcW w:type="dxa" w:w="4536"/>
          </w:tcPr>
          <w:p>
            <w:pPr>
              <w:spacing w:after="0"/>
            </w:pPr>
            <w:r>
              <w:rPr>
                <w:i/>
              </w:rPr>
              <w:t>phases/01_baseline_diagnosis.md</w:t>
            </w:r>
          </w:p>
        </w:tc>
        <w:tc>
          <w:tcPr>
            <w:tcW w:type="dxa" w:w="4536"/>
          </w:tcPr>
          <w:p>
            <w:pPr>
              <w:spacing w:after="0"/>
            </w:pPr>
            <w:r>
              <w:rPr/>
              <w:t xml:space="preserve">üç yönlü karar kuralı (güven aralığı sıfırı dışlıyorsa / içeriyorsa / sonuçsuzsa ne yapılacağı) ve bunun güç temeli; dilimler arası karşılaştırmanın yalnızca </w:t>
            </w:r>
            <w:r>
              <w:rPr>
                <w:i/>
              </w:rPr>
              <w:t>OFF</w:t>
            </w:r>
            <w:r>
              <w:rPr/>
              <w:t>-duyarlılıkla yapılması</w:t>
            </w:r>
          </w:p>
        </w:tc>
      </w:tr>
      <w:tr>
        <w:tc>
          <w:tcPr>
            <w:tcW w:type="dxa" w:w="4536"/>
          </w:tcPr>
          <w:p>
            <w:pPr>
              <w:spacing w:after="0"/>
            </w:pPr>
            <w:r>
              <w:rPr>
                <w:i/>
              </w:rPr>
              <w:t>phases/03_defense_design.md</w:t>
            </w:r>
          </w:p>
        </w:tc>
        <w:tc>
          <w:tcPr>
            <w:tcW w:type="dxa" w:w="4536"/>
          </w:tcPr>
          <w:p>
            <w:pPr>
              <w:spacing w:after="0"/>
            </w:pPr>
            <w:r>
              <w:rPr/>
              <w:t>müdahalenin hedefi (§1.7); türetme kaynağının ayrılması (C1); veri gürültüsüne karşı yapısal süzgeç (C2); D/H ayrıklığı (C3); dört ölçütün birlikte raporlanması</w:t>
            </w:r>
          </w:p>
        </w:tc>
      </w:tr>
      <w:tr>
        <w:tc>
          <w:tcPr>
            <w:tcW w:type="dxa" w:w="4536"/>
          </w:tcPr>
          <w:p>
            <w:pPr>
              <w:spacing w:after="0"/>
            </w:pPr>
            <w:r>
              <w:rPr>
                <w:i/>
              </w:rPr>
              <w:t>phases/04_calibration.md</w:t>
            </w:r>
          </w:p>
        </w:tc>
        <w:tc>
          <w:tcPr>
            <w:tcW w:type="dxa" w:w="4536"/>
          </w:tcPr>
          <w:p>
            <w:pPr>
              <w:spacing w:after="0"/>
            </w:pPr>
            <w:r>
              <w:rPr/>
              <w:t>kalibrasyon bölünmesi ve ECE tanımı; eşiğin seçildiği ve ölçüldüğü kümelerin ayrılması; iki çalışma noktasının kuralla belirlenmesi; sıcaklık ölçeklemenin risk–kapsam eğrisini değiştiremeyeceği öngörüsü</w:t>
            </w:r>
          </w:p>
        </w:tc>
      </w:tr>
      <w:tr>
        <w:tc>
          <w:tcPr>
            <w:tcW w:type="dxa" w:w="4536"/>
          </w:tcPr>
          <w:p>
            <w:pPr>
              <w:spacing w:after="0"/>
            </w:pPr>
            <w:r>
              <w:rPr>
                <w:i/>
              </w:rPr>
              <w:t>phases/08_lexical_analysis.md</w:t>
            </w:r>
          </w:p>
        </w:tc>
        <w:tc>
          <w:tcPr>
            <w:tcW w:type="dxa" w:w="4536"/>
          </w:tcPr>
          <w:p>
            <w:pPr>
              <w:spacing w:after="0"/>
            </w:pPr>
            <w:r>
              <w:rPr/>
              <w:t xml:space="preserve">belirteç istatistiklerinin </w:t>
            </w:r>
            <w:r>
              <w:rPr>
                <w:b/>
              </w:rPr>
              <w:t>yalnızca eğitim bölmesinden</w:t>
            </w:r>
            <w:r>
              <w:rPr/>
              <w:t xml:space="preserve"> çıkarılması (C8-1); sıralama ölçütü ve eşiği (C8-4, C8-5); sözlük üyeliğinin </w:t>
            </w:r>
            <w:r>
              <w:rPr>
                <w:i/>
              </w:rPr>
              <w:t>hit_root</w:t>
            </w:r>
            <w:r>
              <w:rPr/>
              <w:t xml:space="preserve"> ile tanımlanması (C8-6); adım 3'ün yorum kuralının önceden sabitlenmesi (C8-7); müdahale yasağı (C8-11)</w:t>
            </w:r>
          </w:p>
        </w:tc>
      </w:tr>
      <w:tr>
        <w:tc>
          <w:tcPr>
            <w:tcW w:type="dxa" w:w="4536"/>
          </w:tcPr>
          <w:p>
            <w:pPr>
              <w:spacing w:after="0"/>
            </w:pPr>
            <w:r>
              <w:rPr>
                <w:i/>
              </w:rPr>
              <w:t>phases/09_deeper_analysis.md</w:t>
            </w:r>
            <w:r>
              <w:rPr/>
              <w:t xml:space="preserve"> (Aşama 1)</w:t>
            </w:r>
          </w:p>
        </w:tc>
        <w:tc>
          <w:tcPr>
            <w:tcW w:type="dxa" w:w="4536"/>
          </w:tcPr>
          <w:p>
            <w:pPr>
              <w:spacing w:after="0"/>
            </w:pPr>
            <w:r>
              <w:rPr/>
              <w:t xml:space="preserve">dilim içi ROC-AUC'nin tanımı ve beraberlik kuralı (C9-2); bootstrap kurgusu (C9-3); "büyük" ve "küçük" farkın </w:t>
            </w:r>
            <w:r>
              <w:rPr>
                <w:b/>
              </w:rPr>
              <w:t>sayısal</w:t>
            </w:r>
            <w:r>
              <w:rPr/>
              <w:t xml:space="preserve"> eşikleri, tasarım hesabından (C9-4); beş dallı, sıralı ve tüketici karar kuralı (C9-5); her kararın raporda neyi zorunlu kıldığı (C9-6); PR-AUC'nin karara kanıt olarak kullanılamayacağı (C9-9); duyarlılık denetimlerinin kararı </w:t>
            </w:r>
            <w:r>
              <w:rPr>
                <w:b/>
              </w:rPr>
              <w:t>devirememesi</w:t>
            </w:r>
            <w:r>
              <w:rPr/>
              <w:t xml:space="preserve"> (C9-10)</w:t>
            </w:r>
          </w:p>
        </w:tc>
      </w:tr>
      <w:tr>
        <w:tc>
          <w:tcPr>
            <w:tcW w:type="dxa" w:w="4536"/>
          </w:tcPr>
          <w:p>
            <w:pPr>
              <w:spacing w:after="0"/>
            </w:pPr>
            <w:r>
              <w:rPr>
                <w:i/>
              </w:rPr>
              <w:t>phases/09_deeper_analysis.md</w:t>
            </w:r>
            <w:r>
              <w:rPr/>
              <w:t xml:space="preserve"> (Aşama 1b)</w:t>
            </w:r>
          </w:p>
        </w:tc>
        <w:tc>
          <w:tcPr>
            <w:tcW w:type="dxa" w:w="4536"/>
          </w:tcPr>
          <w:p>
            <w:pPr>
              <w:spacing w:after="0"/>
            </w:pPr>
            <w:r>
              <w:rPr/>
              <w:t xml:space="preserve">denetimin </w:t>
            </w:r>
            <w:r>
              <w:rPr>
                <w:i/>
              </w:rPr>
              <w:t>run_raw</w:t>
            </w:r>
            <w:r>
              <w:rPr/>
              <w:t xml:space="preserve"> olması ve </w:t>
            </w:r>
            <w:r>
              <w:rPr>
                <w:b/>
              </w:rPr>
              <w:t>yerine başka bir dosya konulamaması</w:t>
            </w:r>
            <w:r>
              <w:rPr/>
              <w:t xml:space="preserve"> (C9-12); eşleştirilmiş bootstrap kurgusu (C9-13); dört dallı yorum kuralı ve 0,01 tabanı (C9-15); </w:t>
            </w:r>
            <w:r>
              <w:rPr>
                <w:b/>
              </w:rPr>
              <w:t>denetim diliminin öngörüsünün ölçümden önce yazılması</w:t>
            </w:r>
            <w:r>
              <w:rPr/>
              <w:t xml:space="preserve"> — mekanizma küresel bir puan kayması ise </w:t>
            </w:r>
            <w:r>
              <w:rPr>
                <w:i/>
              </w:rPr>
              <w:t>lexicon_hit</w:t>
            </w:r>
            <w:r>
              <w:rPr/>
              <w:t xml:space="preserve"> AUC'sinin de düz kalması gerektiği (C9-16)</w:t>
            </w:r>
          </w:p>
        </w:tc>
      </w:tr>
    </w:tbl>
    <w:p>
      <w:pPr>
        <w:jc w:val="both"/>
      </w:pPr>
      <w:r>
        <w:rPr/>
        <w:t xml:space="preserve">Ön kayıtların işlevi, sonuçlar görüldükten sonra karar kuralının değiştirilmesini engellemektir. Örneğin kalibrasyon ön kaydı, sıcaklık ölçeklemenin risk–kapsam eğrisini </w:t>
      </w:r>
      <w:r>
        <w:rPr>
          <w:b/>
        </w:rPr>
        <w:t>değiştiremeyeceğini</w:t>
      </w:r>
      <w:r>
        <w:rPr/>
        <w:t xml:space="preserve"> önceden ilan eder (dönüşüm tekdüzedir, dolayısıyla satırların güven sıralamasını değiştiremez); bu, ölçümde sayısal olarak doğrulanmış ve böylece "kalibrasyon seçici tahmini iyileştirdi" biçiminde yanlış bir iddianın kazara kurulması engellenmiştir.</w:t>
      </w:r>
    </w:p>
    <w:p>
      <w:pPr>
        <w:pStyle w:val="Balk2"/>
      </w:pPr>
      <w:r>
        <w:t>2.6 Tek kullanımlık test kümesi muhasebesi</w:t>
      </w:r>
    </w:p>
    <w:p>
      <w:pPr>
        <w:jc w:val="both"/>
      </w:pPr>
      <w:r>
        <w:rPr/>
        <w:t>Resmî test kümesinin tek kez kullanılması (§1.5) kod düzeyinde uygulanır.</w:t>
      </w:r>
    </w:p>
    <w:p>
      <w:pPr>
        <w:jc w:val="both"/>
      </w:pPr>
      <w:r>
        <w:rPr>
          <w:i/>
        </w:rPr>
        <w:t>load_coltekin_test</w:t>
      </w:r>
      <w:r>
        <w:rPr/>
        <w:t xml:space="preserve"> işlevi, açık bir bayrak olmadan çağrıldığında hata verir. Bayrak verildiğinde, baytlar okunmadan </w:t>
      </w:r>
      <w:r>
        <w:rPr>
          <w:b/>
        </w:rPr>
        <w:t>önce</w:t>
      </w:r>
      <w:r>
        <w:rPr/>
        <w:t xml:space="preserve"> eklemeli bir açılış günlüğüne kayıt düşer. Çalıştırma tamamlandığında ayrı bir "harcandı" kaydı yazılır; bu kayıt var olduğu sürece işlev, hangi çalıştırmanın hangi işlemede kümeyi harcadığını belirten bir hata mesajıyla reddeder. Her iki dosya da sürüm denetimine dâhildir; dolayısıyla kısıt, deponun başka bir makinedeki kopyasında da geçerlidir.</w:t>
      </w:r>
    </w:p>
    <w:p>
      <w:pPr>
        <w:jc w:val="both"/>
      </w:pPr>
      <w:r>
        <w:rPr/>
        <w:t>Sıralama önemlidir. Günlüğün okumadan önce yazılması, çöken bir çalıştırmanın kayıttan silinememesini sağlar; "harcandı" kaydının yalnızca tamamlanmış bir çalıştırmadan sonra yazılması ise, çöken bir denemeden sonra bir kez dürüst yeniden deneme hakkı bırakır. Bu çalışmada kümenin iki kez açıldığı ve ilk açılışın hiçbir sayı üretmeden çöktüğü §1.5'te kayıtlıdır.</w:t>
      </w:r>
    </w:p>
    <w:p>
      <w:pPr>
        <w:jc w:val="both"/>
      </w:pPr>
      <w:r>
        <w:rPr/>
        <w:t xml:space="preserve">Eşikler de aynı ilkeye tabidir: test üzerinde hiçbir eşik türetilmemiştir. Seçici tahmin eşikleri kalibrasyon kaydından okunur ve değiştirilmeden uygulanır; sonuç dosyası bunu </w:t>
      </w:r>
      <w:r>
        <w:rPr>
          <w:i/>
        </w:rPr>
        <w:t>thresholds_re_derived_on_test: false</w:t>
      </w:r>
      <w:r>
        <w:rPr/>
        <w:t xml:space="preserve"> alanıyla kayda geçirir.</w:t>
      </w:r>
    </w:p>
    <w:p>
      <w:pPr>
        <w:pStyle w:val="Balk2"/>
      </w:pPr>
      <w:r>
        <w:t>2.7 Değerlendirme</w:t>
      </w:r>
    </w:p>
    <w:p>
      <w:pPr>
        <w:jc w:val="both"/>
      </w:pPr>
      <w:r>
        <w:rPr>
          <w:b/>
        </w:rPr>
        <w:t>Ölçüt tanımları.</w:t>
      </w:r>
      <w:r>
        <w:rPr/>
        <w:t xml:space="preserve"> Makro-F1, iki sınıfın F1 değerlerinin ortalamasıdır; </w:t>
      </w:r>
      <w:r>
        <w:rPr>
          <w:i/>
        </w:rPr>
        <w:t>NOT</w:t>
      </w:r>
      <w:r>
        <w:rPr/>
        <w:t xml:space="preserve"> sınıfı da kendi ikili probleminin pozitif sınıfı olarak ele alınır. </w:t>
      </w:r>
      <w:r>
        <w:rPr>
          <w:i/>
        </w:rPr>
        <w:t>OFF</w:t>
      </w:r>
      <w:r>
        <w:rPr/>
        <w:t xml:space="preserve">-duyarlılık ve </w:t>
      </w:r>
      <w:r>
        <w:rPr>
          <w:i/>
        </w:rPr>
        <w:t>OFF</w:t>
      </w:r>
      <w:r>
        <w:rPr/>
        <w:t xml:space="preserve">-kesinlik, </w:t>
      </w:r>
      <w:r>
        <w:rPr>
          <w:i/>
        </w:rPr>
        <w:t>OFF</w:t>
      </w:r>
      <w:r>
        <w:rPr/>
        <w:t xml:space="preserve"> sınıfı için tanımlanır. Bütün ölçütler bağımlılıksız bir modülde (</w:t>
      </w:r>
      <w:r>
        <w:rPr>
          <w:i/>
        </w:rPr>
        <w:t>src/evaluate.py</w:t>
      </w:r>
      <w:r>
        <w:rPr/>
        <w:t>) uygulanmış ve her çalıştırmada scikit-learn'ün aynı ölçütüyle karşılaştırılmıştır; iki uygulama 10⁻⁹'dan fazla ayrışırsa çalıştırma hata verir. Böylece ölçüt kodunun kendisi denetlenmiş olur.</w:t>
      </w:r>
    </w:p>
    <w:p>
      <w:pPr>
        <w:jc w:val="both"/>
      </w:pPr>
      <w:r>
        <w:rPr>
          <w:b/>
        </w:rPr>
        <w:t>Dilim ölçümleri.</w:t>
      </w:r>
      <w:r>
        <w:rPr/>
        <w:t xml:space="preserve"> Dilim içi karışıklık matrisleri ham sayılarla saklanır. Dilim başına makro-F1 ise bilinçli olarak </w:t>
      </w:r>
      <w:r>
        <w:rPr>
          <w:b/>
        </w:rPr>
        <w:t>raporlanmaz</w:t>
      </w:r>
      <w:r>
        <w:rPr/>
        <w:t>: taban oranlar farklıdır (§1.4) ve dilimler arası karşılaştırılması yanıltıcı olurdu. Sonuç dosyalarında bu alan boş bırakılır ve gerekçesi alanın yanına yazılır.</w:t>
      </w:r>
    </w:p>
    <w:p>
      <w:pPr>
        <w:jc w:val="both"/>
      </w:pPr>
      <w:r>
        <w:rPr>
          <w:b/>
        </w:rPr>
        <w:t>Dilim içi ROC-AUC.</w:t>
      </w:r>
      <w:r>
        <w:rPr/>
        <w:t xml:space="preserve"> Duyarlılık karşılaştırması sabit 0,5 eşiğine bağlı olduğundan (§1.4), dilimler ayrıca </w:t>
      </w:r>
      <w:r>
        <w:rPr>
          <w:b/>
        </w:rPr>
        <w:t>eşikten bağımsız</w:t>
      </w:r>
      <w:r>
        <w:rPr/>
        <w:t xml:space="preserve"> bir ölçütle karşılaştırılmıştır (§4.2). Tanım, Mann–Whitney U biçimidir: aynı dilim içinden rastgele bir altın </w:t>
      </w:r>
      <w:r>
        <w:rPr>
          <w:i/>
        </w:rPr>
        <w:t>OFF</w:t>
      </w:r>
      <w:r>
        <w:rPr/>
        <w:t xml:space="preserve"> satırının rastgele bir altın </w:t>
      </w:r>
      <w:r>
        <w:rPr>
          <w:i/>
        </w:rPr>
        <w:t>NOT</w:t>
      </w:r>
      <w:r>
        <w:rPr/>
        <w:t xml:space="preserve"> satırından yüksek puan alma olasılığı; </w:t>
      </w:r>
      <w:r>
        <w:rPr>
          <w:b/>
        </w:rPr>
        <w:t>beraberlikler yarım puanla</w:t>
      </w:r>
      <w:r>
        <w:rPr/>
        <w:t xml:space="preserve"> sayılır. Puan olarak modelin </w:t>
      </w:r>
      <w:r>
        <w:rPr>
          <w:i/>
        </w:rPr>
        <w:t>P(OFF)</w:t>
      </w:r>
      <w:r>
        <w:rPr/>
        <w:t xml:space="preserve"> değeri kullanılır.</w:t>
      </w:r>
    </w:p>
    <w:p>
      <w:pPr>
        <w:jc w:val="both"/>
      </w:pPr>
      <w:r>
        <w:rPr/>
        <w:t xml:space="preserve">Bu ölçütün dilimler arasında karşılaştırılabilir olmasının nedeni, makro-F1'den farklı olarak </w:t>
      </w:r>
      <w:r>
        <w:rPr>
          <w:b/>
        </w:rPr>
        <w:t>taban orandan bağımsız</w:t>
      </w:r>
      <w:r>
        <w:rPr/>
        <w:t xml:space="preserve"> olmasıdır: bir dilimin </w:t>
      </w:r>
      <w:r>
        <w:rPr>
          <w:i/>
        </w:rPr>
        <w:t>NOT</w:t>
      </w:r>
      <w:r>
        <w:rPr/>
        <w:t xml:space="preserve"> satırlarının çoğaltılması AUC'yi değiştirmez. Bu değişmezlik, iddia edilmekle kalmayıp birim testinde gösterilmiştir (</w:t>
      </w:r>
      <w:r>
        <w:rPr>
          <w:i/>
        </w:rPr>
        <w:t>tests/test_stage1_auc.py</w:t>
      </w:r>
      <w:r>
        <w:rPr/>
        <w:t>).</w:t>
      </w:r>
    </w:p>
    <w:p>
      <w:pPr>
        <w:jc w:val="both"/>
      </w:pPr>
      <w:r>
        <w:rPr>
          <w:b/>
        </w:rPr>
        <w:t>Ortalama kesinlik (PR-AUC) aynı ayrıcalığa sahip değildir</w:t>
      </w:r>
      <w:r>
        <w:rPr/>
        <w:t xml:space="preserve"> ve taban orana duyarlıdır; bu nedenle ön kayıtta, dilimler arası karara </w:t>
      </w:r>
      <w:r>
        <w:rPr>
          <w:b/>
        </w:rPr>
        <w:t>kanıt olarak kullanılması yasaklanmıştır</w:t>
      </w:r>
      <w:r>
        <w:rPr/>
        <w:t xml:space="preserve"> (C9-9). Rapora bu gerekçeyle girmemektedir.</w:t>
      </w:r>
    </w:p>
    <w:p>
      <w:pPr>
        <w:jc w:val="both"/>
      </w:pPr>
      <w:r>
        <w:rPr/>
        <w:t xml:space="preserve">Güven aralıkları, dört (dilim × altın sınıf) hücresinin her biri </w:t>
      </w:r>
      <w:r>
        <w:rPr>
          <w:b/>
        </w:rPr>
        <w:t>kendi büyüklüğüne</w:t>
      </w:r>
      <w:r>
        <w:rPr/>
        <w:t xml:space="preserve"> yeniden örneklenerek, 10.000 yinelemeli tabakalı bootstrap ve yüzdelik aralıkla hesaplanır (tohum 42). Karar eşikleri — hangi farkın "büyük", hangisinin "küçük" sayılacağı — sayı üretilmeden önce, yalnızca paydalara ve varsayılan bir AUC değerine dayanan bir tasarım hesabından sabitlenmiştir.</w:t>
      </w:r>
    </w:p>
    <w:p>
      <w:pPr>
        <w:jc w:val="both"/>
      </w:pPr>
      <w:r>
        <w:rPr>
          <w:b/>
        </w:rPr>
        <w:t>Güven aralıkları ve farklar.</w:t>
      </w:r>
      <w:r>
        <w:rPr/>
        <w:t xml:space="preserve"> Protokol §1.7'de tanımlanmıştır: satırlar üzerinde 1.000 yeniden örneklemeli bootstrap; aynı satırlar üzerindeki iki sistem için eşleştirilmiş yordam; ayrık dilimler için bağımsız yeniden örnekleme; farklar işaretine bakılmaksızın raporlanır. Bir ölçütün tanımsız kaldığı yeniden örneklemeler (örneğin hiç </w:t>
      </w:r>
      <w:r>
        <w:rPr>
          <w:i/>
        </w:rPr>
        <w:t>OFF</w:t>
      </w:r>
      <w:r>
        <w:rPr/>
        <w:t xml:space="preserve"> örneği çekilmemişse) sıfır sayılmaz; atılır ve sayıları kaydedilir.</w:t>
      </w:r>
    </w:p>
    <w:p>
      <w:pPr>
        <w:pStyle w:val="Balk2"/>
      </w:pPr>
      <w:r>
        <w:t>2.8 Yeniden üretilebilirlik</w:t>
      </w:r>
    </w:p>
    <w:p>
      <w:pPr>
        <w:jc w:val="both"/>
      </w:pPr>
      <w:r>
        <w:rPr/>
        <w:t xml:space="preserve">Her çalıştırma; kod işlemesini (git SHA), kitaplık sürümlerini, donanımı, girdi dosyalarının SHA-256 özetlerini, geliştirme parmak izini ve tam hiperparametre kümesini bir </w:t>
      </w:r>
      <w:r>
        <w:rPr>
          <w:i/>
        </w:rPr>
        <w:t>run_config.json</w:t>
      </w:r>
      <w:r>
        <w:rPr/>
        <w:t xml:space="preserve"> dosyasına yazar. Sonuçlar </w:t>
      </w:r>
      <w:r>
        <w:rPr>
          <w:i/>
        </w:rPr>
        <w:t>docs/RESULTS_LOG.md</w:t>
      </w:r>
      <w:r>
        <w:rPr/>
        <w:t xml:space="preserve"> içine kronolojik olarak eklenir; bu günlük yalnızca eklemelidir — sonraki bir sonuç öncekiyle çeliştiğinde eski kayıt düzeltilmez, yeni bir düzeltme kaydı eklenir. Günlükte şu anda </w:t>
      </w:r>
      <w:r>
        <w:rPr>
          <w:b/>
        </w:rPr>
        <w:t>dört</w:t>
      </w:r>
      <w:r>
        <w:rPr/>
        <w:t xml:space="preserve"> düzeltme kaydı vardır.</w:t>
      </w:r>
    </w:p>
    <w:p>
      <w:pPr>
        <w:jc w:val="both"/>
      </w:pPr>
      <w:r>
        <w:rPr/>
        <w:t>Kod tabanı 166 birim testiyle denetlenmektedir; bunlar bölünme ve ölçüt değişmezlerini, veri üretme kurallarını, kalibrasyon özelliklerini, test kümesi muhasebesini, gösterim uygulamasının girdi işlemesini ve eşikten bağımsız ölçütün taban orandan bağımsızlığını kapsar — bu sonuncusu, §4.2'deki karşılaştırmanın neden geçerli olduğunun kendisidir ve bu nedenle iddia edilmekle bırakılmayıp sınanmaktadır. Ayrıca, ağır çalıştırmaların rapor ve kayıt yolları, gerçek çalıştırmadan önce yapay verilerle kuru olarak sınanır; amaç, saatler süren bir hesaplamadan sonra biçimsel bir hatanın keşfedilmesini önlemektir.</w:t>
      </w:r>
    </w:p>
    <w:sectPr w:rsidR="003139E6">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46EC7" w14:textId="77777777" w:rsidR="002F546C" w:rsidRDefault="002F546C">
      <w:pPr>
        <w:spacing w:after="0" w:line="240" w:lineRule="auto"/>
      </w:pPr>
      <w:r>
        <w:separator/>
      </w:r>
    </w:p>
  </w:endnote>
  <w:endnote w:type="continuationSeparator" w:id="0">
    <w:p w14:paraId="7BA87B7C" w14:textId="77777777" w:rsidR="002F546C" w:rsidRDefault="002F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C2C72AF9-D4A4-453C-9E64-7B1E5E17A279}"/>
    <w:embedBold r:id="rId2" w:fontKey="{8F5E98C4-DF60-4A1D-BEDC-694A9D2DE912}"/>
  </w:font>
  <w:font w:name="Georgia">
    <w:panose1 w:val="02040502050405020303"/>
    <w:charset w:val="A2"/>
    <w:family w:val="roman"/>
    <w:pitch w:val="variable"/>
    <w:sig w:usb0="00000287" w:usb1="00000000" w:usb2="00000000" w:usb3="00000000" w:csb0="0000009F" w:csb1="00000000"/>
    <w:embedItalic r:id="rId3" w:fontKey="{09495800-44DA-4255-AF22-4FEB3BB2637C}"/>
  </w:font>
  <w:font w:name="Calibri">
    <w:panose1 w:val="020F0502020204030204"/>
    <w:charset w:val="A2"/>
    <w:family w:val="swiss"/>
    <w:pitch w:val="variable"/>
    <w:sig w:usb0="E4002EFF" w:usb1="C200247B" w:usb2="00000009" w:usb3="00000000" w:csb0="000001FF" w:csb1="00000000"/>
    <w:embedRegular r:id="rId4" w:fontKey="{B7925781-84BA-47BF-9863-F31971B9EEBC}"/>
  </w:font>
  <w:font w:name="Cambria">
    <w:panose1 w:val="02040503050406030204"/>
    <w:charset w:val="A2"/>
    <w:family w:val="roman"/>
    <w:pitch w:val="variable"/>
    <w:sig w:usb0="E00006FF" w:usb1="420024FF" w:usb2="02000000" w:usb3="00000000" w:csb0="0000019F" w:csb1="00000000"/>
    <w:embedRegular r:id="rId5" w:fontKey="{BBF6501E-0176-457E-8969-90B34D339F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F354C" w14:textId="77777777" w:rsidR="002F546C" w:rsidRDefault="002F546C">
      <w:pPr>
        <w:spacing w:after="0" w:line="240" w:lineRule="auto"/>
      </w:pPr>
      <w:r>
        <w:separator/>
      </w:r>
    </w:p>
  </w:footnote>
  <w:footnote w:type="continuationSeparator" w:id="0">
    <w:p w14:paraId="3AD4E0CA" w14:textId="77777777" w:rsidR="002F546C" w:rsidRDefault="002F5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058" w14:textId="77777777" w:rsidR="003139E6"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439059">
    <w:abstractNumId w:val="0"/>
  </w:num>
  <w:num w:numId="2" w16cid:durableId="430703211">
    <w:abstractNumId w:val="2"/>
  </w:num>
  <w:num w:numId="3" w16cid:durableId="180219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9E6"/>
    <w:rsid w:val="00296FC7"/>
    <w:rsid w:val="002F546C"/>
    <w:rsid w:val="003139E6"/>
    <w:rsid w:val="003900F3"/>
    <w:rsid w:val="00B674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7784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tr" w:eastAsia="tr-T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Balk2">
    <w:name w:val="heading 2"/>
    <w:basedOn w:val="Normal"/>
    <w:next w:val="Normal"/>
    <w:uiPriority w:val="9"/>
    <w:semiHidden/>
    <w:unhideWhenUsed/>
    <w:qFormat/>
    <w:pPr>
      <w:keepNext/>
      <w:keepLines/>
      <w:spacing w:before="360" w:after="80"/>
      <w:outlineLvl w:val="1"/>
    </w:pPr>
    <w:rPr>
      <w:rFonts w:ascii="Arial Black" w:hAnsi="Arial Black" w:eastAsia="Arial Black" w:cs="Arial Black"/>
      <w:sz w:val="24"/>
      <w:szCs w:val="24"/>
    </w:rPr>
  </w:style>
  <w:style w:type="paragraph" w:styleId="Balk3">
    <w:name w:val="heading 3"/>
    <w:basedOn w:val="Normal"/>
    <w:next w:val="Normal"/>
    <w:uiPriority w:val="9"/>
    <w:semiHidden/>
    <w:unhideWhenUsed/>
    <w:qFormat/>
    <w:pPr>
      <w:keepNext/>
      <w:keepLines/>
      <w:spacing w:before="280" w:after="80"/>
      <w:outlineLvl w:val="2"/>
    </w:pPr>
    <w:rPr>
      <w:rFonts w:ascii="Arial" w:hAnsi="Arial" w:eastAsia="Arial" w:cs="Arial"/>
      <w:b w:val="1"/>
      <w:bCs w:val="1"/>
      <w:sz w:val="24"/>
      <w:szCs w:val="24"/>
    </w:rPr>
  </w:style>
  <w:style w:type="paragraph" w:styleId="Balk4">
    <w:name w:val="heading 4"/>
    <w:basedOn w:val="Normal"/>
    <w:next w:val="Normal"/>
    <w:uiPriority w:val="9"/>
    <w:semiHidden/>
    <w:unhideWhenUsed/>
    <w:qFormat/>
    <w:pPr>
      <w:keepNext/>
      <w:keepLines/>
      <w:spacing w:before="240" w:after="40"/>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cp:revision>
  <dcterms:created xsi:type="dcterms:W3CDTF">2026-08-13T09:17:00Z</dcterms:created>
  <dcterms:modified xsi:type="dcterms:W3CDTF">2026-08-13T09:20:00Z</dcterms:modified>
  <dc:creator/>
  <dc:title/>
  <dc:subject/>
  <cp:category/>
  <dc:description/>
  <cp:keywords/>
</cp:coreProperties>
</file>