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11" w:rsidRPr="00E331B5" w:rsidRDefault="00441F11" w:rsidP="00441F11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441F11" w:rsidRPr="00E331B5" w:rsidRDefault="00441F11" w:rsidP="00441F11">
      <w:pPr>
        <w:pBdr>
          <w:bottom w:val="single" w:sz="6" w:space="1" w:color="auto"/>
        </w:pBdr>
        <w:bidi/>
        <w:jc w:val="center"/>
        <w:rPr>
          <w:b/>
          <w:bCs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25"/>
        <w:gridCol w:w="2340"/>
        <w:gridCol w:w="3972"/>
        <w:gridCol w:w="2203"/>
      </w:tblGrid>
      <w:tr w:rsidR="00441F11" w:rsidRPr="00142113" w:rsidTr="00441F11">
        <w:trPr>
          <w:trHeight w:val="230"/>
          <w:jc w:val="right"/>
        </w:trPr>
        <w:tc>
          <w:tcPr>
            <w:tcW w:w="11337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 xml:space="preserve"> رصد توفير خدمات الاتصالات</w:t>
            </w:r>
          </w:p>
        </w:tc>
        <w:tc>
          <w:tcPr>
            <w:tcW w:w="2203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441F11" w:rsidRPr="00142113" w:rsidTr="00441F11">
        <w:trPr>
          <w:trHeight w:val="562"/>
          <w:jc w:val="right"/>
        </w:trPr>
        <w:tc>
          <w:tcPr>
            <w:tcW w:w="50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مدير إدارة الاستراتيجية والتخطيط والمتابعة.</w:t>
            </w:r>
          </w:p>
        </w:tc>
        <w:tc>
          <w:tcPr>
            <w:tcW w:w="23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397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إلى أي مدى ساهمت الدولة في توفير البنية التحتية لقطاع الاتصالات (ثابت _نقال _انترنت _ بريد)</w:t>
            </w:r>
          </w:p>
        </w:tc>
        <w:tc>
          <w:tcPr>
            <w:tcW w:w="2203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441F11" w:rsidRPr="00142113" w:rsidTr="00441F11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قسم البيانات والمؤشرات.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قسم البيانات والمؤشرات 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441F11" w:rsidRPr="00142113" w:rsidTr="00441F11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عمليات إدارية.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توجد.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441F11" w:rsidRPr="00142113" w:rsidTr="00441F11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441F11" w:rsidRPr="00142113" w:rsidTr="00441F11">
        <w:trPr>
          <w:trHeight w:val="414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Default="00441F11" w:rsidP="00B846D1">
            <w:pPr>
              <w:pStyle w:val="ListParagraph"/>
              <w:numPr>
                <w:ilvl w:val="0"/>
                <w:numId w:val="35"/>
              </w:numPr>
              <w:bidi/>
              <w:spacing w:after="0" w:line="240" w:lineRule="auto"/>
              <w:jc w:val="both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Excel sheet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5"/>
              </w:numPr>
              <w:bidi/>
              <w:spacing w:after="0" w:line="240" w:lineRule="auto"/>
              <w:jc w:val="both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ITU</w:t>
            </w:r>
            <w:r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 xml:space="preserve">منظومة مؤشرات </w:t>
            </w:r>
          </w:p>
          <w:p w:rsidR="00441F11" w:rsidRPr="00441F11" w:rsidRDefault="00441F11" w:rsidP="00441F11">
            <w:pPr>
              <w:pStyle w:val="ListParagraph"/>
              <w:numPr>
                <w:ilvl w:val="0"/>
                <w:numId w:val="35"/>
              </w:numPr>
              <w:bidi/>
              <w:spacing w:line="256" w:lineRule="auto"/>
              <w:jc w:val="both"/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</w:pPr>
            <w:r>
              <w:rPr>
                <w:rFonts w:asciiTheme="minorBidi" w:hAnsiTheme="minorBidi"/>
                <w:b/>
                <w:bCs/>
                <w:color w:val="323E4F" w:themeColor="text2" w:themeShade="BF"/>
              </w:rPr>
              <w:t>Power point sheet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441F11" w:rsidRPr="00142113" w:rsidTr="00441F11">
        <w:trPr>
          <w:trHeight w:val="279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6F1FEA" w:rsidRDefault="00441F11" w:rsidP="00B846D1">
            <w:pPr>
              <w:pStyle w:val="text"/>
              <w:tabs>
                <w:tab w:val="left" w:pos="3484"/>
              </w:tabs>
              <w:bidi/>
              <w:spacing w:before="0" w:beforeAutospacing="0" w:after="0" w:afterAutospacing="0"/>
              <w:jc w:val="both"/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3B3838" w:themeColor="background2" w:themeShade="40"/>
                <w:sz w:val="22"/>
                <w:szCs w:val="22"/>
                <w:rtl/>
              </w:rPr>
              <w:t xml:space="preserve"> الاتحاد الدولي للاتصالات.</w:t>
            </w:r>
            <w:r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  <w:tab/>
              <w:t xml:space="preserve">   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</w:rPr>
              <w:t xml:space="preserve">لا يوجد. 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441F11" w:rsidRPr="00142113" w:rsidTr="00441F11">
        <w:trPr>
          <w:trHeight w:val="33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ورقي. 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تحليل البيانات وتحويلها </w:t>
            </w:r>
            <w:r w:rsidR="001B2EF0"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إلى</w:t>
            </w: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 مؤشرات وإحصائيات.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441F11" w:rsidRPr="00142113" w:rsidTr="00441F11">
        <w:trPr>
          <w:trHeight w:val="33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3_4 في السنة.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يدوي.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441F11" w:rsidRPr="00142113" w:rsidTr="00441F11">
        <w:trPr>
          <w:trHeight w:val="244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7 موظفين.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441F11" w:rsidRPr="00142113" w:rsidTr="00441F11">
        <w:trPr>
          <w:trHeight w:val="1879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ديوان رئاسة الوزراء.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مصلحة الإحصاء والتعداد.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الاتحاد الدولي للاتصالات.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منظمة التعاون الاقتصادي والاجتماعي.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الاسكوا.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البنك الدولي.</w:t>
            </w:r>
          </w:p>
          <w:p w:rsidR="00441F11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جامعة الدول العربية.</w:t>
            </w:r>
          </w:p>
          <w:p w:rsidR="00441F11" w:rsidRPr="0005038E" w:rsidRDefault="00441F11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الهيئة العامة للمعلومات والتوثيق.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أسبوع.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441F11" w:rsidRPr="00142113" w:rsidTr="00441F11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ورقي.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441F11" w:rsidRPr="00142113" w:rsidTr="00441F11">
        <w:trPr>
          <w:trHeight w:val="4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41F11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rtl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أرشيف الإدارة.</w:t>
            </w:r>
          </w:p>
          <w:p w:rsidR="00441F11" w:rsidRPr="00E77DEA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الجهات ذات العلاقة والاختصاص.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3972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ربع سنوي.</w:t>
            </w: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 xml:space="preserve"> </w:t>
            </w: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الخدمة</w:t>
            </w:r>
          </w:p>
        </w:tc>
      </w:tr>
      <w:tr w:rsidR="00441F11" w:rsidRPr="00142113" w:rsidTr="00441F11">
        <w:trPr>
          <w:trHeight w:val="338"/>
          <w:jc w:val="right"/>
        </w:trPr>
        <w:tc>
          <w:tcPr>
            <w:tcW w:w="11337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467256" w:rsidRDefault="00441F11" w:rsidP="00B846D1">
            <w:pPr>
              <w:pStyle w:val="ListParagraph"/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</w:p>
        </w:tc>
        <w:tc>
          <w:tcPr>
            <w:tcW w:w="2203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41F11" w:rsidRPr="00142113" w:rsidRDefault="00441F11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441F11" w:rsidRDefault="00441F11" w:rsidP="00441F11">
      <w:pPr>
        <w:bidi/>
        <w:spacing w:after="0" w:line="240" w:lineRule="auto"/>
        <w:rPr>
          <w:sz w:val="8"/>
          <w:szCs w:val="8"/>
          <w:rtl/>
        </w:rPr>
      </w:pPr>
    </w:p>
    <w:p w:rsidR="00441F11" w:rsidRDefault="00441F11" w:rsidP="00441F11">
      <w:pPr>
        <w:bidi/>
        <w:spacing w:after="0" w:line="240" w:lineRule="auto"/>
        <w:rPr>
          <w:sz w:val="8"/>
          <w:szCs w:val="8"/>
          <w:rtl/>
        </w:rPr>
      </w:pPr>
    </w:p>
    <w:p w:rsidR="00441F11" w:rsidRDefault="00441F11" w:rsidP="00441F11">
      <w:pPr>
        <w:bidi/>
        <w:spacing w:after="0" w:line="240" w:lineRule="auto"/>
        <w:rPr>
          <w:sz w:val="8"/>
          <w:szCs w:val="8"/>
          <w:rtl/>
        </w:rPr>
      </w:pPr>
    </w:p>
    <w:p w:rsidR="00441F11" w:rsidRDefault="00441F11" w:rsidP="00441F11">
      <w:pPr>
        <w:bidi/>
        <w:spacing w:after="0" w:line="240" w:lineRule="auto"/>
        <w:rPr>
          <w:sz w:val="8"/>
          <w:szCs w:val="8"/>
          <w:rtl/>
        </w:rPr>
      </w:pPr>
    </w:p>
    <w:p w:rsidR="00441F11" w:rsidRDefault="00441F11" w:rsidP="00441F11">
      <w:pPr>
        <w:bidi/>
        <w:spacing w:after="0" w:line="240" w:lineRule="auto"/>
        <w:rPr>
          <w:sz w:val="8"/>
          <w:szCs w:val="8"/>
          <w:rtl/>
        </w:rPr>
      </w:pPr>
    </w:p>
    <w:p w:rsidR="00441F11" w:rsidRPr="002368C0" w:rsidRDefault="00441F11" w:rsidP="00441F11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أسم الخدم</w:t>
      </w:r>
      <w:r>
        <w:rPr>
          <w:rFonts w:hint="cs"/>
          <w:b/>
          <w:bCs/>
          <w:color w:val="1F4E79" w:themeColor="accent5" w:themeShade="80"/>
          <w:rtl/>
          <w:lang w:bidi="ar-LY"/>
        </w:rPr>
        <w:t>ــــ</w:t>
      </w: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ة:</w:t>
      </w:r>
      <w:r>
        <w:rPr>
          <w:rFonts w:hint="cs"/>
          <w:b/>
          <w:bCs/>
          <w:color w:val="1F4E79" w:themeColor="accent5" w:themeShade="80"/>
          <w:rtl/>
          <w:lang w:bidi="ar-LY"/>
        </w:rPr>
        <w:t xml:space="preserve"> </w:t>
      </w:r>
      <w:r>
        <w:rPr>
          <w:rFonts w:hint="cs"/>
          <w:b/>
          <w:bCs/>
          <w:color w:val="1F4E79" w:themeColor="accent5" w:themeShade="80"/>
          <w:sz w:val="24"/>
          <w:szCs w:val="24"/>
          <w:rtl/>
          <w:lang w:bidi="ar-LY"/>
        </w:rPr>
        <w:t>رصد توفير خدمات الاتصالات.</w:t>
      </w:r>
    </w:p>
    <w:p w:rsidR="00441F11" w:rsidRPr="009A5556" w:rsidRDefault="00441F11" w:rsidP="00441F1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3960" w:type="dxa"/>
        <w:tblInd w:w="-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2"/>
        <w:gridCol w:w="2552"/>
        <w:gridCol w:w="1984"/>
        <w:gridCol w:w="1985"/>
        <w:gridCol w:w="4367"/>
        <w:gridCol w:w="560"/>
      </w:tblGrid>
      <w:tr w:rsidR="00441F11" w:rsidRPr="00E839F1" w:rsidTr="00B846D1">
        <w:trPr>
          <w:trHeight w:val="49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</w:t>
            </w:r>
            <w:r w:rsidRPr="00E839F1">
              <w:rPr>
                <w:rFonts w:hint="cs"/>
                <w:b/>
                <w:bCs/>
                <w:rtl/>
                <w:lang w:bidi="ar-JO"/>
              </w:rPr>
              <w:t>إن</w:t>
            </w:r>
            <w:r w:rsidRPr="00E839F1">
              <w:rPr>
                <w:b/>
                <w:bCs/>
                <w:rtl/>
                <w:lang w:bidi="ar-JO"/>
              </w:rPr>
              <w:t xml:space="preserve"> وجد)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441F11" w:rsidRPr="00E839F1" w:rsidTr="00B846D1">
        <w:trPr>
          <w:trHeight w:val="943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Default="00441F11" w:rsidP="00441F1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(نهاية كل ربع سنة )</w:t>
            </w:r>
          </w:p>
          <w:p w:rsidR="00441F11" w:rsidRPr="009C05BF" w:rsidRDefault="00441F11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عند نهاية كل ربع سنة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مدير إدارة الاستراتيجية 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يرسل مدير الإدارة عند نهاية كل ربع سنة النماذج</w:t>
            </w:r>
          </w:p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المخصصة لجمع البيانات والمعلومات إلى كل الإدارات والمكاتب داخل الهيئة وكذلك شركات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القطاع.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AD6480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1</w:t>
            </w:r>
          </w:p>
        </w:tc>
      </w:tr>
      <w:tr w:rsidR="00441F11" w:rsidRPr="00E839F1" w:rsidTr="00B846D1">
        <w:trPr>
          <w:trHeight w:val="87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الإدارات والمكاتب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وشركات القطاع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تملأ الإدارات والمكاتب وشركات القطاع النماذج وترسلها</w:t>
            </w:r>
          </w:p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إلى إدارة الاستراتيجية والتخطيط والمتابعة.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AD6480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2</w:t>
            </w:r>
          </w:p>
        </w:tc>
      </w:tr>
      <w:tr w:rsidR="00441F11" w:rsidRPr="00E839F1" w:rsidTr="00B846D1">
        <w:trPr>
          <w:trHeight w:val="78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رئيس قسم البيانات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يحلل رئيس البيانات والمؤشرات البيانات والمعلومات وصولا بها إلى مؤشرات وإحصائيات.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AD6480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3</w:t>
            </w:r>
          </w:p>
        </w:tc>
      </w:tr>
      <w:tr w:rsidR="00441F11" w:rsidRPr="00E839F1" w:rsidTr="00B846D1">
        <w:trPr>
          <w:trHeight w:val="1264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(محلية ودولية)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موظفي قسم البيانات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يفوز موظفي قسم البيانات والمؤشرات البيانات إلى بيانات محلية وبيانات دولية بناء على القانون الدولي للاتصالات وتحال إلى مدير إدارة الاستراتيجية والتخطيط والمتابعة للاعتماد.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AD6480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4</w:t>
            </w:r>
          </w:p>
        </w:tc>
      </w:tr>
      <w:tr w:rsidR="00441F11" w:rsidRPr="00E839F1" w:rsidTr="00B846D1">
        <w:trPr>
          <w:trHeight w:val="1099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(محلية ودولية) معتمدة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1F11" w:rsidRPr="009C05BF" w:rsidRDefault="00441F11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441F11" w:rsidRPr="009C05BF" w:rsidRDefault="00441F11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(محلية ودولية)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مدير إدارة الاستراتيجية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يعتمد مدير إدارة الاسترات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ي</w:t>
            </w: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جية والتخطيط والمتابعة البيانات </w:t>
            </w:r>
          </w:p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 xml:space="preserve">والمؤشرات والإحصائيات ويحيلها إلي رئيس الهيئة.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5</w:t>
            </w:r>
          </w:p>
        </w:tc>
      </w:tr>
      <w:tr w:rsidR="00441F11" w:rsidRPr="00E839F1" w:rsidTr="00B846D1">
        <w:trPr>
          <w:trHeight w:val="1006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تم الحفظ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للا</w:t>
            </w: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ستخدام والانتشار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سنويا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9C05BF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مصلحة الإحصاء والتعداد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41F11" w:rsidRPr="009C05BF" w:rsidRDefault="00441F11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التنسيق مع مصلحة الإحصاء والتعداد في كتابة الاستبيان الخاص باستخدام وانتشار الاتصالا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ت وتكنولوجيا المعلومات للأسر والأ</w:t>
            </w:r>
            <w:r w:rsidRPr="009C05BF">
              <w:rPr>
                <w:rFonts w:asciiTheme="minorBidi" w:hAnsiTheme="minorBidi" w:hint="cs"/>
                <w:color w:val="3B3838" w:themeColor="background2" w:themeShade="40"/>
                <w:rtl/>
              </w:rPr>
              <w:t>فراد والجهات العامة والخاصة.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41F11" w:rsidRPr="00AD6480" w:rsidRDefault="00441F11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6</w:t>
            </w:r>
          </w:p>
        </w:tc>
      </w:tr>
    </w:tbl>
    <w:p w:rsidR="00441F11" w:rsidRDefault="00441F11" w:rsidP="00441F11">
      <w:pPr>
        <w:bidi/>
        <w:rPr>
          <w:rtl/>
        </w:rPr>
      </w:pPr>
    </w:p>
    <w:p w:rsidR="00441F11" w:rsidRDefault="00441F11" w:rsidP="00441F11">
      <w:pPr>
        <w:bidi/>
        <w:rPr>
          <w:rtl/>
        </w:rPr>
      </w:pPr>
    </w:p>
    <w:p w:rsidR="00441F11" w:rsidRDefault="00441F11" w:rsidP="00441F11">
      <w:pPr>
        <w:bidi/>
        <w:spacing w:after="0" w:line="240" w:lineRule="auto"/>
        <w:rPr>
          <w:rtl/>
        </w:rPr>
      </w:pPr>
    </w:p>
    <w:p w:rsidR="00441F11" w:rsidRPr="00EF4216" w:rsidRDefault="00441F11" w:rsidP="00441F11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lastRenderedPageBreak/>
        <w:t>أسم الخدم</w:t>
      </w:r>
      <w:r>
        <w:rPr>
          <w:rFonts w:hint="cs"/>
          <w:b/>
          <w:bCs/>
          <w:color w:val="1F4E79" w:themeColor="accent5" w:themeShade="80"/>
          <w:rtl/>
          <w:lang w:bidi="ar-LY"/>
        </w:rPr>
        <w:t>ــــ</w:t>
      </w: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ة:</w:t>
      </w:r>
      <w:r>
        <w:rPr>
          <w:rFonts w:hint="cs"/>
          <w:b/>
          <w:bCs/>
          <w:color w:val="1F4E79" w:themeColor="accent5" w:themeShade="80"/>
          <w:sz w:val="24"/>
          <w:szCs w:val="24"/>
          <w:rtl/>
          <w:lang w:bidi="ar-LY"/>
        </w:rPr>
        <w:t xml:space="preserve"> رصد توفير خدمات الاتصالات.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 xml:space="preserve"> </w:t>
      </w:r>
    </w:p>
    <w:p w:rsidR="00441F11" w:rsidRPr="00E839F1" w:rsidRDefault="00441F11" w:rsidP="00441F1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441F11" w:rsidTr="00B846D1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441F11" w:rsidRPr="00FB32FF" w:rsidRDefault="00441F11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441F11" w:rsidRPr="00FB32FF" w:rsidRDefault="00441F11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الاسم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441F11" w:rsidRPr="00FB32FF" w:rsidRDefault="00441F11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441F11" w:rsidTr="00B846D1">
        <w:tc>
          <w:tcPr>
            <w:tcW w:w="835" w:type="dxa"/>
          </w:tcPr>
          <w:p w:rsidR="00441F11" w:rsidRPr="00FB32FF" w:rsidRDefault="00441F11" w:rsidP="00B846D1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441F11" w:rsidRPr="00E34135" w:rsidRDefault="00441F11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</w:p>
        </w:tc>
        <w:tc>
          <w:tcPr>
            <w:tcW w:w="2265" w:type="dxa"/>
          </w:tcPr>
          <w:p w:rsidR="00441F11" w:rsidRPr="0073711E" w:rsidRDefault="00441F11" w:rsidP="00B846D1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441F11" w:rsidRDefault="00441F11" w:rsidP="00441F11">
      <w:pPr>
        <w:bidi/>
        <w:rPr>
          <w:rtl/>
        </w:rPr>
      </w:pPr>
    </w:p>
    <w:p w:rsidR="00441F11" w:rsidRPr="002B3C9E" w:rsidRDefault="00441F11" w:rsidP="00441F11">
      <w:pPr>
        <w:bidi/>
      </w:pPr>
    </w:p>
    <w:tbl>
      <w:tblPr>
        <w:tblW w:w="13813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7"/>
        <w:gridCol w:w="28"/>
        <w:gridCol w:w="2347"/>
        <w:gridCol w:w="2383"/>
        <w:gridCol w:w="1556"/>
        <w:gridCol w:w="2922"/>
        <w:gridCol w:w="1952"/>
        <w:gridCol w:w="28"/>
      </w:tblGrid>
      <w:tr w:rsidR="00441F11" w:rsidRPr="00E839F1" w:rsidTr="001B2EF0">
        <w:trPr>
          <w:gridAfter w:val="1"/>
          <w:wAfter w:w="28" w:type="dxa"/>
          <w:trHeight w:val="405"/>
          <w:jc w:val="center"/>
        </w:trPr>
        <w:tc>
          <w:tcPr>
            <w:tcW w:w="2597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88" w:type="dxa"/>
            <w:gridSpan w:val="6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441F11" w:rsidRPr="00E839F1" w:rsidTr="001B2EF0">
        <w:trPr>
          <w:trHeight w:val="233"/>
          <w:jc w:val="center"/>
        </w:trPr>
        <w:tc>
          <w:tcPr>
            <w:tcW w:w="2625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347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383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1556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922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980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إعداد</w:t>
            </w:r>
          </w:p>
        </w:tc>
      </w:tr>
      <w:tr w:rsidR="00441F11" w:rsidRPr="00E839F1" w:rsidTr="001B2EF0">
        <w:trPr>
          <w:trHeight w:val="2099"/>
          <w:jc w:val="center"/>
        </w:trPr>
        <w:tc>
          <w:tcPr>
            <w:tcW w:w="2625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3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22 /08/2017</w:t>
            </w:r>
          </w:p>
        </w:tc>
        <w:tc>
          <w:tcPr>
            <w:tcW w:w="23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نجمي عبد الله تاته</w:t>
            </w:r>
          </w:p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5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أحمد الحمادي</w:t>
            </w:r>
          </w:p>
        </w:tc>
        <w:tc>
          <w:tcPr>
            <w:tcW w:w="29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1F11" w:rsidRDefault="00441F11" w:rsidP="00B846D1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  <w:p w:rsidR="00441F11" w:rsidRPr="006918D3" w:rsidRDefault="00441F11" w:rsidP="00B846D1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القنصل</w:t>
            </w:r>
          </w:p>
        </w:tc>
        <w:tc>
          <w:tcPr>
            <w:tcW w:w="1980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1F11" w:rsidRPr="00E839F1" w:rsidRDefault="00441F11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معتز صميدة</w:t>
            </w:r>
          </w:p>
        </w:tc>
      </w:tr>
    </w:tbl>
    <w:p w:rsidR="00441F11" w:rsidRDefault="00441F11" w:rsidP="00441F11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441F11" w:rsidRPr="00D97C3E" w:rsidRDefault="00441F11" w:rsidP="00441F11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441F11" w:rsidRDefault="00441F11" w:rsidP="00441F11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992EBF" w:rsidRPr="00441F11" w:rsidRDefault="00992EBF" w:rsidP="00441F11"/>
    <w:sectPr w:rsidR="00992EBF" w:rsidRPr="00441F11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3F" w:rsidRDefault="00262A3F" w:rsidP="007816E9">
      <w:pPr>
        <w:spacing w:after="0" w:line="240" w:lineRule="auto"/>
      </w:pPr>
      <w:r>
        <w:separator/>
      </w:r>
    </w:p>
  </w:endnote>
  <w:endnote w:type="continuationSeparator" w:id="0">
    <w:p w:rsidR="00262A3F" w:rsidRDefault="00262A3F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3F" w:rsidRDefault="00262A3F" w:rsidP="007816E9">
      <w:pPr>
        <w:spacing w:after="0" w:line="240" w:lineRule="auto"/>
      </w:pPr>
      <w:r>
        <w:separator/>
      </w:r>
    </w:p>
  </w:footnote>
  <w:footnote w:type="continuationSeparator" w:id="0">
    <w:p w:rsidR="00262A3F" w:rsidRDefault="00262A3F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5C7E"/>
    <w:multiLevelType w:val="hybridMultilevel"/>
    <w:tmpl w:val="4492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59AC"/>
    <w:multiLevelType w:val="hybridMultilevel"/>
    <w:tmpl w:val="D110D7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005350"/>
    <w:multiLevelType w:val="hybridMultilevel"/>
    <w:tmpl w:val="F81C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B184B"/>
    <w:multiLevelType w:val="hybridMultilevel"/>
    <w:tmpl w:val="6B3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C3E7C"/>
    <w:multiLevelType w:val="hybridMultilevel"/>
    <w:tmpl w:val="A2EA9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019C"/>
    <w:multiLevelType w:val="hybridMultilevel"/>
    <w:tmpl w:val="BAF4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7A2CC1"/>
    <w:multiLevelType w:val="hybridMultilevel"/>
    <w:tmpl w:val="3E9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F7973"/>
    <w:multiLevelType w:val="hybridMultilevel"/>
    <w:tmpl w:val="08BEA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F74FB"/>
    <w:multiLevelType w:val="hybridMultilevel"/>
    <w:tmpl w:val="4B068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11CDB"/>
    <w:multiLevelType w:val="hybridMultilevel"/>
    <w:tmpl w:val="4B7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F360E"/>
    <w:multiLevelType w:val="hybridMultilevel"/>
    <w:tmpl w:val="D20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4341D"/>
    <w:multiLevelType w:val="hybridMultilevel"/>
    <w:tmpl w:val="DE1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9062C5"/>
    <w:multiLevelType w:val="hybridMultilevel"/>
    <w:tmpl w:val="DA6C1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55BD6"/>
    <w:multiLevelType w:val="hybridMultilevel"/>
    <w:tmpl w:val="C10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32D52"/>
    <w:multiLevelType w:val="hybridMultilevel"/>
    <w:tmpl w:val="CACEC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F2E79"/>
    <w:multiLevelType w:val="hybridMultilevel"/>
    <w:tmpl w:val="0EDE9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4112A9"/>
    <w:multiLevelType w:val="hybridMultilevel"/>
    <w:tmpl w:val="32A0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113FE"/>
    <w:multiLevelType w:val="hybridMultilevel"/>
    <w:tmpl w:val="45A8A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E08A7"/>
    <w:multiLevelType w:val="hybridMultilevel"/>
    <w:tmpl w:val="1C7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85FFA"/>
    <w:multiLevelType w:val="hybridMultilevel"/>
    <w:tmpl w:val="861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0"/>
  </w:num>
  <w:num w:numId="5">
    <w:abstractNumId w:val="20"/>
  </w:num>
  <w:num w:numId="6">
    <w:abstractNumId w:val="16"/>
  </w:num>
  <w:num w:numId="7">
    <w:abstractNumId w:val="15"/>
  </w:num>
  <w:num w:numId="8">
    <w:abstractNumId w:val="27"/>
  </w:num>
  <w:num w:numId="9">
    <w:abstractNumId w:val="10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8"/>
  </w:num>
  <w:num w:numId="15">
    <w:abstractNumId w:val="28"/>
  </w:num>
  <w:num w:numId="16">
    <w:abstractNumId w:val="29"/>
  </w:num>
  <w:num w:numId="17">
    <w:abstractNumId w:val="19"/>
  </w:num>
  <w:num w:numId="18">
    <w:abstractNumId w:val="25"/>
  </w:num>
  <w:num w:numId="19">
    <w:abstractNumId w:val="21"/>
  </w:num>
  <w:num w:numId="20">
    <w:abstractNumId w:val="4"/>
  </w:num>
  <w:num w:numId="21">
    <w:abstractNumId w:val="17"/>
  </w:num>
  <w:num w:numId="22">
    <w:abstractNumId w:val="5"/>
  </w:num>
  <w:num w:numId="23">
    <w:abstractNumId w:val="13"/>
  </w:num>
  <w:num w:numId="24">
    <w:abstractNumId w:val="32"/>
  </w:num>
  <w:num w:numId="25">
    <w:abstractNumId w:val="2"/>
  </w:num>
  <w:num w:numId="26">
    <w:abstractNumId w:val="22"/>
  </w:num>
  <w:num w:numId="27">
    <w:abstractNumId w:val="14"/>
  </w:num>
  <w:num w:numId="28">
    <w:abstractNumId w:val="33"/>
  </w:num>
  <w:num w:numId="29">
    <w:abstractNumId w:val="24"/>
  </w:num>
  <w:num w:numId="30">
    <w:abstractNumId w:val="18"/>
  </w:num>
  <w:num w:numId="31">
    <w:abstractNumId w:val="12"/>
  </w:num>
  <w:num w:numId="32">
    <w:abstractNumId w:val="31"/>
  </w:num>
  <w:num w:numId="33">
    <w:abstractNumId w:val="26"/>
  </w:num>
  <w:num w:numId="34">
    <w:abstractNumId w:val="3"/>
  </w:num>
  <w:num w:numId="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0437B"/>
    <w:rsid w:val="0002217A"/>
    <w:rsid w:val="0003795C"/>
    <w:rsid w:val="00037D10"/>
    <w:rsid w:val="00045915"/>
    <w:rsid w:val="0005038E"/>
    <w:rsid w:val="00053561"/>
    <w:rsid w:val="00072F2A"/>
    <w:rsid w:val="000934CF"/>
    <w:rsid w:val="000C4575"/>
    <w:rsid w:val="000D3DC9"/>
    <w:rsid w:val="000E110E"/>
    <w:rsid w:val="000E7DA9"/>
    <w:rsid w:val="00130ED0"/>
    <w:rsid w:val="0014064D"/>
    <w:rsid w:val="00142113"/>
    <w:rsid w:val="00143719"/>
    <w:rsid w:val="00152B77"/>
    <w:rsid w:val="00153DA5"/>
    <w:rsid w:val="00157BBF"/>
    <w:rsid w:val="00171DD1"/>
    <w:rsid w:val="00180773"/>
    <w:rsid w:val="001828C2"/>
    <w:rsid w:val="00185B7D"/>
    <w:rsid w:val="001942CF"/>
    <w:rsid w:val="001B2EF0"/>
    <w:rsid w:val="001C4E04"/>
    <w:rsid w:val="001C66C4"/>
    <w:rsid w:val="001D5753"/>
    <w:rsid w:val="002167FF"/>
    <w:rsid w:val="002365AC"/>
    <w:rsid w:val="002368C0"/>
    <w:rsid w:val="002450E6"/>
    <w:rsid w:val="00262A3F"/>
    <w:rsid w:val="0026514F"/>
    <w:rsid w:val="00266222"/>
    <w:rsid w:val="002836DC"/>
    <w:rsid w:val="0028443B"/>
    <w:rsid w:val="002C1AA3"/>
    <w:rsid w:val="002C3B94"/>
    <w:rsid w:val="002E354F"/>
    <w:rsid w:val="00303F5B"/>
    <w:rsid w:val="00306484"/>
    <w:rsid w:val="0032344C"/>
    <w:rsid w:val="0034102F"/>
    <w:rsid w:val="00350632"/>
    <w:rsid w:val="00355794"/>
    <w:rsid w:val="00382DE6"/>
    <w:rsid w:val="00387B0E"/>
    <w:rsid w:val="003B3C9B"/>
    <w:rsid w:val="003C5FAD"/>
    <w:rsid w:val="003C7F4E"/>
    <w:rsid w:val="0040587A"/>
    <w:rsid w:val="00416EC4"/>
    <w:rsid w:val="00441F11"/>
    <w:rsid w:val="00457AB4"/>
    <w:rsid w:val="00460514"/>
    <w:rsid w:val="00467256"/>
    <w:rsid w:val="00483773"/>
    <w:rsid w:val="00494C80"/>
    <w:rsid w:val="004A53CA"/>
    <w:rsid w:val="004B11CA"/>
    <w:rsid w:val="004B145C"/>
    <w:rsid w:val="004F715B"/>
    <w:rsid w:val="00505C5A"/>
    <w:rsid w:val="005356BD"/>
    <w:rsid w:val="00541D64"/>
    <w:rsid w:val="00547DBA"/>
    <w:rsid w:val="00577F71"/>
    <w:rsid w:val="00582DDB"/>
    <w:rsid w:val="00591F45"/>
    <w:rsid w:val="005B4527"/>
    <w:rsid w:val="005B480C"/>
    <w:rsid w:val="005B6860"/>
    <w:rsid w:val="005D0E74"/>
    <w:rsid w:val="005D4032"/>
    <w:rsid w:val="005D4C23"/>
    <w:rsid w:val="005D5A08"/>
    <w:rsid w:val="005F4E5B"/>
    <w:rsid w:val="0060138D"/>
    <w:rsid w:val="00613095"/>
    <w:rsid w:val="006353EC"/>
    <w:rsid w:val="00644766"/>
    <w:rsid w:val="00645EE8"/>
    <w:rsid w:val="00647978"/>
    <w:rsid w:val="00650425"/>
    <w:rsid w:val="006665A2"/>
    <w:rsid w:val="00671A27"/>
    <w:rsid w:val="00673D82"/>
    <w:rsid w:val="00674A60"/>
    <w:rsid w:val="006918D3"/>
    <w:rsid w:val="006A4963"/>
    <w:rsid w:val="006B6746"/>
    <w:rsid w:val="006B7631"/>
    <w:rsid w:val="006C773C"/>
    <w:rsid w:val="006D7783"/>
    <w:rsid w:val="006E1CE1"/>
    <w:rsid w:val="006F17C1"/>
    <w:rsid w:val="006F1FEA"/>
    <w:rsid w:val="0072414C"/>
    <w:rsid w:val="00727A9E"/>
    <w:rsid w:val="0073711E"/>
    <w:rsid w:val="00744019"/>
    <w:rsid w:val="00760D15"/>
    <w:rsid w:val="007660FD"/>
    <w:rsid w:val="00767A81"/>
    <w:rsid w:val="00776E18"/>
    <w:rsid w:val="007816E9"/>
    <w:rsid w:val="00787F97"/>
    <w:rsid w:val="00791E55"/>
    <w:rsid w:val="007A06A1"/>
    <w:rsid w:val="007C1D85"/>
    <w:rsid w:val="007D74A4"/>
    <w:rsid w:val="007E166C"/>
    <w:rsid w:val="007E2DBB"/>
    <w:rsid w:val="007E37A6"/>
    <w:rsid w:val="007E632E"/>
    <w:rsid w:val="007F52EE"/>
    <w:rsid w:val="00806BD4"/>
    <w:rsid w:val="00807AEE"/>
    <w:rsid w:val="00841022"/>
    <w:rsid w:val="00876FB5"/>
    <w:rsid w:val="00895DA0"/>
    <w:rsid w:val="008A7366"/>
    <w:rsid w:val="008A7A0C"/>
    <w:rsid w:val="008B7BC9"/>
    <w:rsid w:val="008C24F0"/>
    <w:rsid w:val="008D1B3C"/>
    <w:rsid w:val="008E37D4"/>
    <w:rsid w:val="00946DF1"/>
    <w:rsid w:val="0095400E"/>
    <w:rsid w:val="0095745C"/>
    <w:rsid w:val="0096533D"/>
    <w:rsid w:val="00992EBF"/>
    <w:rsid w:val="009C05BF"/>
    <w:rsid w:val="009C753E"/>
    <w:rsid w:val="009D4121"/>
    <w:rsid w:val="009F060D"/>
    <w:rsid w:val="009F3FB5"/>
    <w:rsid w:val="00A23B91"/>
    <w:rsid w:val="00A53C3A"/>
    <w:rsid w:val="00A66107"/>
    <w:rsid w:val="00A90387"/>
    <w:rsid w:val="00AC53BE"/>
    <w:rsid w:val="00AD6480"/>
    <w:rsid w:val="00AE6812"/>
    <w:rsid w:val="00AF1FD9"/>
    <w:rsid w:val="00AF7366"/>
    <w:rsid w:val="00B02C23"/>
    <w:rsid w:val="00B10321"/>
    <w:rsid w:val="00B110BB"/>
    <w:rsid w:val="00B11359"/>
    <w:rsid w:val="00B16207"/>
    <w:rsid w:val="00B4512B"/>
    <w:rsid w:val="00B47523"/>
    <w:rsid w:val="00B51224"/>
    <w:rsid w:val="00B562D3"/>
    <w:rsid w:val="00B62C32"/>
    <w:rsid w:val="00B63121"/>
    <w:rsid w:val="00B76D46"/>
    <w:rsid w:val="00B8219A"/>
    <w:rsid w:val="00BA408C"/>
    <w:rsid w:val="00BB7428"/>
    <w:rsid w:val="00BD0270"/>
    <w:rsid w:val="00BF7747"/>
    <w:rsid w:val="00C00F5B"/>
    <w:rsid w:val="00C10C10"/>
    <w:rsid w:val="00C10DEC"/>
    <w:rsid w:val="00C146FA"/>
    <w:rsid w:val="00C378B1"/>
    <w:rsid w:val="00C515DC"/>
    <w:rsid w:val="00C768B1"/>
    <w:rsid w:val="00C86988"/>
    <w:rsid w:val="00CC1A17"/>
    <w:rsid w:val="00CC4C27"/>
    <w:rsid w:val="00CC6C08"/>
    <w:rsid w:val="00CD2A81"/>
    <w:rsid w:val="00CD337B"/>
    <w:rsid w:val="00CD62A3"/>
    <w:rsid w:val="00D243B1"/>
    <w:rsid w:val="00D333C9"/>
    <w:rsid w:val="00D40040"/>
    <w:rsid w:val="00D77559"/>
    <w:rsid w:val="00D7780F"/>
    <w:rsid w:val="00D92F20"/>
    <w:rsid w:val="00D97C3E"/>
    <w:rsid w:val="00DC264F"/>
    <w:rsid w:val="00DC5B2B"/>
    <w:rsid w:val="00DC629B"/>
    <w:rsid w:val="00DF576B"/>
    <w:rsid w:val="00E12753"/>
    <w:rsid w:val="00E331B5"/>
    <w:rsid w:val="00E34135"/>
    <w:rsid w:val="00E4372A"/>
    <w:rsid w:val="00E77DEA"/>
    <w:rsid w:val="00E839F1"/>
    <w:rsid w:val="00E87450"/>
    <w:rsid w:val="00E92618"/>
    <w:rsid w:val="00E96824"/>
    <w:rsid w:val="00EB0886"/>
    <w:rsid w:val="00EB0E60"/>
    <w:rsid w:val="00EB6010"/>
    <w:rsid w:val="00EC1554"/>
    <w:rsid w:val="00EE4896"/>
    <w:rsid w:val="00EF4216"/>
    <w:rsid w:val="00F02769"/>
    <w:rsid w:val="00F153D8"/>
    <w:rsid w:val="00F20EDA"/>
    <w:rsid w:val="00F21CAF"/>
    <w:rsid w:val="00F225C3"/>
    <w:rsid w:val="00F32174"/>
    <w:rsid w:val="00F42146"/>
    <w:rsid w:val="00F56E6F"/>
    <w:rsid w:val="00F71535"/>
    <w:rsid w:val="00F93AC5"/>
    <w:rsid w:val="00F944E8"/>
    <w:rsid w:val="00FA02E8"/>
    <w:rsid w:val="00FA7109"/>
    <w:rsid w:val="00FB1C59"/>
    <w:rsid w:val="00FC296A"/>
    <w:rsid w:val="00FD3577"/>
    <w:rsid w:val="00FE4163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A0EA7-ACB8-4F15-9B26-DF57A7C5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customStyle="1" w:styleId="text">
    <w:name w:val="text"/>
    <w:basedOn w:val="Normal"/>
    <w:rsid w:val="00DC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29B"/>
  </w:style>
  <w:style w:type="character" w:styleId="Hyperlink">
    <w:name w:val="Hyperlink"/>
    <w:basedOn w:val="DefaultParagraphFont"/>
    <w:uiPriority w:val="99"/>
    <w:semiHidden/>
    <w:unhideWhenUsed/>
    <w:rsid w:val="00DC6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6197-295D-4449-9678-D9D30835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ElGhoul</dc:creator>
  <cp:lastModifiedBy>Elhadi</cp:lastModifiedBy>
  <cp:revision>2</cp:revision>
  <dcterms:created xsi:type="dcterms:W3CDTF">2017-10-04T19:02:00Z</dcterms:created>
  <dcterms:modified xsi:type="dcterms:W3CDTF">2017-10-04T19:02:00Z</dcterms:modified>
</cp:coreProperties>
</file>