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F6" w:rsidRDefault="00B50BF6" w:rsidP="00B50BF6">
      <w:pPr>
        <w:bidi/>
        <w:jc w:val="center"/>
        <w:rPr>
          <w:b/>
          <w:bCs/>
          <w:sz w:val="28"/>
          <w:szCs w:val="28"/>
          <w:rtl/>
          <w:lang w:bidi="ar-LY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bidi="ar-LY"/>
        </w:rPr>
        <w:t>نموذج الاستعلام عن الإجراءات الإدارية</w:t>
      </w:r>
    </w:p>
    <w:p w:rsidR="00B50BF6" w:rsidRPr="00307DC0" w:rsidRDefault="00B50BF6" w:rsidP="00B50BF6">
      <w:pPr>
        <w:pBdr>
          <w:bottom w:val="single" w:sz="6" w:space="1" w:color="auto"/>
        </w:pBdr>
        <w:bidi/>
        <w:jc w:val="center"/>
        <w:rPr>
          <w:b/>
          <w:bCs/>
          <w:lang w:bidi="ar-LY"/>
        </w:rPr>
      </w:pPr>
      <w:r w:rsidRPr="00D37C30">
        <w:rPr>
          <w:rFonts w:hint="cs"/>
          <w:b/>
          <w:bCs/>
          <w:rtl/>
          <w:lang w:bidi="ar-LY"/>
        </w:rPr>
        <w:t xml:space="preserve">حصر المعلومات عن </w:t>
      </w:r>
      <w:r>
        <w:rPr>
          <w:rFonts w:hint="cs"/>
          <w:b/>
          <w:bCs/>
          <w:rtl/>
          <w:lang w:bidi="ar-LY"/>
        </w:rPr>
        <w:t>الإجراءات بال</w:t>
      </w:r>
      <w:r w:rsidRPr="00D37C30">
        <w:rPr>
          <w:rFonts w:hint="cs"/>
          <w:b/>
          <w:bCs/>
          <w:rtl/>
          <w:lang w:bidi="ar-LY"/>
        </w:rPr>
        <w:t xml:space="preserve">هيئة </w:t>
      </w:r>
      <w:r>
        <w:rPr>
          <w:rFonts w:hint="cs"/>
          <w:b/>
          <w:bCs/>
          <w:rtl/>
          <w:lang w:bidi="ar-LY"/>
        </w:rPr>
        <w:t>وما يتعلق بها من قوانين وضوابط</w:t>
      </w:r>
      <w:r w:rsidRPr="00D37C30">
        <w:rPr>
          <w:rFonts w:hint="cs"/>
          <w:b/>
          <w:bCs/>
          <w:rtl/>
          <w:lang w:bidi="ar-LY"/>
        </w:rPr>
        <w:t xml:space="preserve"> هو الهدف من هذا </w:t>
      </w:r>
      <w:r>
        <w:rPr>
          <w:rFonts w:hint="cs"/>
          <w:b/>
          <w:bCs/>
          <w:rtl/>
          <w:lang w:bidi="ar-LY"/>
        </w:rPr>
        <w:t>الاستعلام</w:t>
      </w:r>
      <w:r w:rsidRPr="00D37C30">
        <w:rPr>
          <w:rFonts w:hint="cs"/>
          <w:b/>
          <w:bCs/>
          <w:rtl/>
          <w:lang w:bidi="ar-LY"/>
        </w:rPr>
        <w:t xml:space="preserve"> </w:t>
      </w:r>
      <w:r>
        <w:rPr>
          <w:rFonts w:hint="cs"/>
          <w:b/>
          <w:bCs/>
          <w:rtl/>
          <w:lang w:bidi="ar-LY"/>
        </w:rPr>
        <w:t>كجزء من عملية توثيق الوضع الحالي.</w:t>
      </w:r>
    </w:p>
    <w:tbl>
      <w:tblPr>
        <w:tblW w:w="13540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25"/>
        <w:gridCol w:w="2340"/>
        <w:gridCol w:w="4230"/>
        <w:gridCol w:w="1945"/>
      </w:tblGrid>
      <w:tr w:rsidR="00B50BF6" w:rsidRPr="00142113" w:rsidTr="00B846D1">
        <w:trPr>
          <w:trHeight w:val="230"/>
          <w:jc w:val="right"/>
        </w:trPr>
        <w:tc>
          <w:tcPr>
            <w:tcW w:w="11595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قياس الأثر الاقتصادي والاجتماعي للاتصالات وتكنولوجيا المعلومات.</w:t>
            </w:r>
          </w:p>
        </w:tc>
        <w:tc>
          <w:tcPr>
            <w:tcW w:w="1945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0BF6" w:rsidRPr="00142113" w:rsidRDefault="00B50BF6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اســــــــــم الخدمـــة</w:t>
            </w:r>
            <w:r>
              <w:rPr>
                <w:rFonts w:cs="Arial" w:hint="cs"/>
                <w:b/>
                <w:bCs/>
                <w:color w:val="323E4F" w:themeColor="text2" w:themeShade="BF"/>
                <w:rtl/>
              </w:rPr>
              <w:t>:</w:t>
            </w:r>
          </w:p>
        </w:tc>
      </w:tr>
      <w:tr w:rsidR="00B50BF6" w:rsidRPr="00142113" w:rsidTr="00B846D1">
        <w:trPr>
          <w:trHeight w:val="562"/>
          <w:jc w:val="right"/>
        </w:trPr>
        <w:tc>
          <w:tcPr>
            <w:tcW w:w="502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مدير إدارة الاستراتيجية والتخطيط والمتابعة.</w:t>
            </w:r>
          </w:p>
        </w:tc>
        <w:tc>
          <w:tcPr>
            <w:tcW w:w="23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جهة الاعتماد</w:t>
            </w:r>
          </w:p>
        </w:tc>
        <w:tc>
          <w:tcPr>
            <w:tcW w:w="423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B50BF6" w:rsidRPr="00E77DEA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 xml:space="preserve">قياس الأثر على مؤسسات الدولة مثل التعليم والصحة والاقتصاد. </w:t>
            </w:r>
          </w:p>
        </w:tc>
        <w:tc>
          <w:tcPr>
            <w:tcW w:w="1945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B50BF6" w:rsidRPr="00142113" w:rsidRDefault="00B50BF6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نبذة عن الخدمة</w:t>
            </w:r>
          </w:p>
        </w:tc>
      </w:tr>
      <w:tr w:rsidR="00B50BF6" w:rsidRPr="00142113" w:rsidTr="00B846D1">
        <w:trPr>
          <w:trHeight w:val="17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قسم البيانات والمؤشرات.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الجهة المسؤولة عن الخدمة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E77DEA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 xml:space="preserve">قسم البيانات والمؤشرات 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142113" w:rsidRDefault="00B50BF6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طالبة الخدمة</w:t>
            </w:r>
          </w:p>
        </w:tc>
      </w:tr>
      <w:tr w:rsidR="00B50BF6" w:rsidRPr="00142113" w:rsidTr="00B846D1">
        <w:trPr>
          <w:trHeight w:val="17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عمليات إدارية.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نوع الخدمة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E77DEA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توجد.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142113" w:rsidRDefault="00B50BF6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النماذج المستخدمة</w:t>
            </w:r>
          </w:p>
        </w:tc>
      </w:tr>
      <w:tr w:rsidR="00B50BF6" w:rsidRPr="00142113" w:rsidTr="00B846D1">
        <w:trPr>
          <w:trHeight w:val="342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لا يوجد.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الإدارات المشاركة في الخدمة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E77DEA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يوجد.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142113" w:rsidRDefault="00B50BF6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المرفقات المطلوبة</w:t>
            </w:r>
          </w:p>
        </w:tc>
      </w:tr>
      <w:tr w:rsidR="00B50BF6" w:rsidRPr="00142113" w:rsidTr="00B846D1">
        <w:trPr>
          <w:trHeight w:val="765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32344C" w:rsidRDefault="00B50BF6" w:rsidP="00B846D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32344C"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  <w:t>Excel sheet</w:t>
            </w:r>
          </w:p>
          <w:p w:rsidR="00B50BF6" w:rsidRPr="0032344C" w:rsidRDefault="00B50BF6" w:rsidP="00B846D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</w:rPr>
            </w:pPr>
            <w:r w:rsidRPr="0032344C"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  <w:t>ITU</w:t>
            </w:r>
            <w:r w:rsidRPr="0032344C"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</w:rPr>
              <w:t xml:space="preserve">منظومة مؤشرات </w:t>
            </w:r>
          </w:p>
          <w:p w:rsidR="00B50BF6" w:rsidRPr="0032344C" w:rsidRDefault="00B50BF6" w:rsidP="00B846D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</w:rPr>
            </w:pPr>
            <w:r w:rsidRPr="0032344C">
              <w:rPr>
                <w:rFonts w:asciiTheme="minorBidi" w:hAnsiTheme="minorBidi"/>
                <w:b/>
                <w:bCs/>
                <w:color w:val="323E4F" w:themeColor="text2" w:themeShade="BF"/>
              </w:rPr>
              <w:t>Power point sheet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الأنظمة والتطبيقات الداعمة للخدمة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E77DEA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يوجد.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142113" w:rsidRDefault="00B50BF6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رسوم الخدمة</w:t>
            </w:r>
          </w:p>
        </w:tc>
      </w:tr>
      <w:tr w:rsidR="00B50BF6" w:rsidRPr="00142113" w:rsidTr="00B846D1">
        <w:trPr>
          <w:trHeight w:val="17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6F1FEA" w:rsidRDefault="00B50BF6" w:rsidP="00B846D1">
            <w:pPr>
              <w:pStyle w:val="text"/>
              <w:tabs>
                <w:tab w:val="left" w:pos="3484"/>
              </w:tabs>
              <w:bidi/>
              <w:spacing w:before="0" w:beforeAutospacing="0" w:after="0" w:afterAutospacing="0"/>
              <w:jc w:val="both"/>
              <w:rPr>
                <w:rFonts w:asciiTheme="minorBidi" w:hAnsiTheme="minorBidi" w:cstheme="minorBidi"/>
                <w:b/>
                <w:bCs/>
                <w:color w:val="3B3838" w:themeColor="background2" w:themeShade="40"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3B3838" w:themeColor="background2" w:themeShade="40"/>
                <w:sz w:val="22"/>
                <w:szCs w:val="22"/>
                <w:rtl/>
              </w:rPr>
              <w:t xml:space="preserve"> الاتحاد الدولي للاتصالات.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القوانين واللوائح الخاصة بالإجراء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E77DEA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</w:rPr>
              <w:t xml:space="preserve">لا يوجد. 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142113" w:rsidRDefault="00B50BF6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الدفع</w:t>
            </w:r>
          </w:p>
        </w:tc>
      </w:tr>
      <w:tr w:rsidR="00B50BF6" w:rsidRPr="00142113" w:rsidTr="00B846D1">
        <w:trPr>
          <w:trHeight w:val="332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E77DEA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 xml:space="preserve">ورقي. 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نوع المخرج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E77DEA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تحليل البيانات وتحويلها إلى مؤشرات وإحصائيات.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142113" w:rsidRDefault="00B50BF6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المخرجات</w:t>
            </w:r>
          </w:p>
        </w:tc>
      </w:tr>
      <w:tr w:rsidR="00B50BF6" w:rsidRPr="00142113" w:rsidTr="00B846D1">
        <w:trPr>
          <w:trHeight w:val="332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E77DEA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3_4 في السنة.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متوسط عدد المعاملات المنجزة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يدوي.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142113" w:rsidRDefault="00B50BF6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التسليم</w:t>
            </w:r>
          </w:p>
        </w:tc>
      </w:tr>
      <w:tr w:rsidR="00B50BF6" w:rsidRPr="00142113" w:rsidTr="00B846D1">
        <w:trPr>
          <w:trHeight w:val="244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E77DEA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لا يوجد.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عدد المراجعات لطالب الخدمة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7 موظفين.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142113" w:rsidRDefault="00B50BF6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عدد العاملين</w:t>
            </w:r>
          </w:p>
        </w:tc>
      </w:tr>
      <w:tr w:rsidR="00B50BF6" w:rsidRPr="00142113" w:rsidTr="00B846D1">
        <w:trPr>
          <w:trHeight w:val="1879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Default="00B50BF6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ديوان رئاسة الوزراء.</w:t>
            </w:r>
          </w:p>
          <w:p w:rsidR="00B50BF6" w:rsidRDefault="00B50BF6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مصلحة الإحصاء والتعداد.</w:t>
            </w:r>
          </w:p>
          <w:p w:rsidR="00B50BF6" w:rsidRDefault="00B50BF6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الاتحاد الدولي للاتصالات.</w:t>
            </w:r>
          </w:p>
          <w:p w:rsidR="00B50BF6" w:rsidRDefault="00B50BF6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منظمة التعاون الاقتصادي والاجتماعي.</w:t>
            </w:r>
          </w:p>
          <w:p w:rsidR="00B50BF6" w:rsidRDefault="00B50BF6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الاسكوا.</w:t>
            </w:r>
          </w:p>
          <w:p w:rsidR="00B50BF6" w:rsidRDefault="00B50BF6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البنك الدولي.</w:t>
            </w:r>
          </w:p>
          <w:p w:rsidR="00B50BF6" w:rsidRDefault="00B50BF6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جامعة الدول العربية.</w:t>
            </w:r>
          </w:p>
          <w:p w:rsidR="00B50BF6" w:rsidRPr="0005038E" w:rsidRDefault="00B50BF6" w:rsidP="00B846D1">
            <w:pPr>
              <w:pStyle w:val="ListParagraph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الهيئة العامة للمعلومات والتوثيق.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جهات أخرى خارجية ذات علاقة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أسبوع.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142113" w:rsidRDefault="00B50BF6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زمن تقديم الخدمة</w:t>
            </w:r>
          </w:p>
        </w:tc>
      </w:tr>
      <w:tr w:rsidR="00B50BF6" w:rsidRPr="00142113" w:rsidTr="00B846D1">
        <w:trPr>
          <w:trHeight w:val="162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Pr="00E77DEA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ورقي.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نوع المدخل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لا يوجد.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142113" w:rsidRDefault="00B50BF6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الطلبات الراجعة</w:t>
            </w:r>
          </w:p>
        </w:tc>
      </w:tr>
      <w:tr w:rsidR="00B50BF6" w:rsidRPr="00142113" w:rsidTr="00B846D1">
        <w:trPr>
          <w:trHeight w:val="333"/>
          <w:jc w:val="right"/>
        </w:trPr>
        <w:tc>
          <w:tcPr>
            <w:tcW w:w="5025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B50BF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rtl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أرشيف الإدارة.</w:t>
            </w:r>
          </w:p>
          <w:p w:rsidR="00B50BF6" w:rsidRPr="00E77DEA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B3838" w:themeColor="background2" w:themeShade="40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B3838" w:themeColor="background2" w:themeShade="40"/>
                <w:rtl/>
                <w:lang w:bidi="ar-LY"/>
              </w:rPr>
              <w:t>الجهات ذات العلاقة والاختصاص.</w:t>
            </w:r>
          </w:p>
        </w:tc>
        <w:tc>
          <w:tcPr>
            <w:tcW w:w="23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 w:rsidRPr="00467256">
              <w:rPr>
                <w:rFonts w:asciiTheme="minorBidi" w:hAnsiTheme="minorBidi"/>
                <w:b/>
                <w:bCs/>
                <w:color w:val="323E4F" w:themeColor="text2" w:themeShade="BF"/>
                <w:rtl/>
              </w:rPr>
              <w:t>التوزيع والحفظ</w:t>
            </w:r>
          </w:p>
        </w:tc>
        <w:tc>
          <w:tcPr>
            <w:tcW w:w="423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asciiTheme="minorBidi" w:hAnsiTheme="minorBidi" w:hint="cs"/>
                <w:b/>
                <w:bCs/>
                <w:color w:val="323E4F" w:themeColor="text2" w:themeShade="BF"/>
                <w:rtl/>
                <w:lang w:bidi="ar-LY"/>
              </w:rPr>
              <w:t>ربع سنوي.</w:t>
            </w: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142113" w:rsidRDefault="00B50BF6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 على</w:t>
            </w:r>
            <w:r>
              <w:rPr>
                <w:rFonts w:cs="Arial" w:hint="cs"/>
                <w:b/>
                <w:bCs/>
                <w:color w:val="323E4F" w:themeColor="text2" w:themeShade="BF"/>
                <w:rtl/>
              </w:rPr>
              <w:t xml:space="preserve"> </w:t>
            </w: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الخدمة</w:t>
            </w:r>
          </w:p>
        </w:tc>
      </w:tr>
      <w:tr w:rsidR="00B50BF6" w:rsidRPr="00142113" w:rsidTr="00B846D1">
        <w:trPr>
          <w:trHeight w:val="338"/>
          <w:jc w:val="right"/>
        </w:trPr>
        <w:tc>
          <w:tcPr>
            <w:tcW w:w="11595" w:type="dxa"/>
            <w:gridSpan w:val="3"/>
            <w:tcBorders>
              <w:top w:val="single" w:sz="8" w:space="0" w:color="2666A6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467256" w:rsidRDefault="00B50BF6" w:rsidP="00B846D1">
            <w:pPr>
              <w:pStyle w:val="ListParagraph"/>
              <w:bidi/>
              <w:spacing w:after="0" w:line="240" w:lineRule="auto"/>
              <w:rPr>
                <w:rFonts w:asciiTheme="minorBidi" w:hAnsiTheme="minorBidi"/>
                <w:b/>
                <w:bCs/>
                <w:color w:val="323E4F" w:themeColor="text2" w:themeShade="BF"/>
                <w:lang w:bidi="ar-LY"/>
              </w:rPr>
            </w:pPr>
          </w:p>
        </w:tc>
        <w:tc>
          <w:tcPr>
            <w:tcW w:w="1945" w:type="dxa"/>
            <w:tcBorders>
              <w:top w:val="single" w:sz="8" w:space="0" w:color="2666A6"/>
              <w:left w:val="dotted" w:sz="4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B50BF6" w:rsidRPr="00142113" w:rsidRDefault="00B50BF6" w:rsidP="00B846D1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ملاحظات</w:t>
            </w:r>
          </w:p>
        </w:tc>
      </w:tr>
    </w:tbl>
    <w:p w:rsidR="00B50BF6" w:rsidRDefault="00B50BF6" w:rsidP="00B50BF6">
      <w:pPr>
        <w:bidi/>
        <w:spacing w:after="0" w:line="240" w:lineRule="auto"/>
        <w:rPr>
          <w:sz w:val="8"/>
          <w:szCs w:val="8"/>
          <w:rtl/>
        </w:rPr>
      </w:pPr>
    </w:p>
    <w:p w:rsidR="00B50BF6" w:rsidRPr="002368C0" w:rsidRDefault="00B50BF6" w:rsidP="00B50BF6">
      <w:pPr>
        <w:bidi/>
        <w:spacing w:after="0" w:line="240" w:lineRule="auto"/>
        <w:rPr>
          <w:color w:val="1F4E79" w:themeColor="accent5" w:themeShade="80"/>
          <w:sz w:val="24"/>
          <w:szCs w:val="24"/>
          <w:rtl/>
          <w:lang w:bidi="ar-LY"/>
        </w:rPr>
      </w:pPr>
      <w:r w:rsidRPr="00E839F1">
        <w:rPr>
          <w:rFonts w:hint="cs"/>
          <w:b/>
          <w:bCs/>
          <w:color w:val="1F4E79" w:themeColor="accent5" w:themeShade="80"/>
          <w:rtl/>
          <w:lang w:bidi="ar-LY"/>
        </w:rPr>
        <w:lastRenderedPageBreak/>
        <w:t>أسم الخدم</w:t>
      </w:r>
      <w:r>
        <w:rPr>
          <w:rFonts w:hint="cs"/>
          <w:b/>
          <w:bCs/>
          <w:color w:val="1F4E79" w:themeColor="accent5" w:themeShade="80"/>
          <w:rtl/>
          <w:lang w:bidi="ar-LY"/>
        </w:rPr>
        <w:t>ــــ</w:t>
      </w:r>
      <w:r w:rsidRPr="00E839F1">
        <w:rPr>
          <w:rFonts w:hint="cs"/>
          <w:b/>
          <w:bCs/>
          <w:color w:val="1F4E79" w:themeColor="accent5" w:themeShade="80"/>
          <w:rtl/>
          <w:lang w:bidi="ar-LY"/>
        </w:rPr>
        <w:t>ة:</w:t>
      </w:r>
      <w:r>
        <w:rPr>
          <w:rFonts w:hint="cs"/>
          <w:b/>
          <w:bCs/>
          <w:color w:val="1F4E79" w:themeColor="accent5" w:themeShade="80"/>
          <w:rtl/>
          <w:lang w:bidi="ar-LY"/>
        </w:rPr>
        <w:t xml:space="preserve"> </w:t>
      </w:r>
      <w:r>
        <w:rPr>
          <w:rFonts w:asciiTheme="minorBidi" w:hAnsiTheme="minorBidi" w:hint="cs"/>
          <w:b/>
          <w:bCs/>
          <w:color w:val="323E4F" w:themeColor="text2" w:themeShade="BF"/>
          <w:rtl/>
          <w:lang w:bidi="ar-LY"/>
        </w:rPr>
        <w:t>قياس الأثر الاقتصادي والاجتماعي للاتصالات وتكنولوجيا المعلومات.</w:t>
      </w:r>
    </w:p>
    <w:p w:rsidR="00B50BF6" w:rsidRDefault="00B50BF6" w:rsidP="00B50BF6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B50BF6" w:rsidRPr="009A5556" w:rsidRDefault="00B50BF6" w:rsidP="00B50BF6">
      <w:pPr>
        <w:bidi/>
        <w:spacing w:after="0" w:line="240" w:lineRule="auto"/>
        <w:rPr>
          <w:sz w:val="14"/>
          <w:szCs w:val="14"/>
          <w:rtl/>
          <w:lang w:bidi="ar-LY"/>
        </w:rPr>
      </w:pPr>
    </w:p>
    <w:tbl>
      <w:tblPr>
        <w:tblW w:w="13960" w:type="dxa"/>
        <w:tblInd w:w="-1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2"/>
        <w:gridCol w:w="2552"/>
        <w:gridCol w:w="1984"/>
        <w:gridCol w:w="1985"/>
        <w:gridCol w:w="4367"/>
        <w:gridCol w:w="560"/>
      </w:tblGrid>
      <w:tr w:rsidR="00B50BF6" w:rsidRPr="00E839F1" w:rsidTr="00B846D1">
        <w:trPr>
          <w:trHeight w:val="498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المخرجات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المدخلات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قواعد العمل (</w:t>
            </w:r>
            <w:r w:rsidRPr="00E839F1">
              <w:rPr>
                <w:rFonts w:hint="cs"/>
                <w:b/>
                <w:bCs/>
                <w:rtl/>
                <w:lang w:bidi="ar-JO"/>
              </w:rPr>
              <w:t>إن</w:t>
            </w:r>
            <w:r w:rsidRPr="00E839F1">
              <w:rPr>
                <w:b/>
                <w:bCs/>
                <w:rtl/>
                <w:lang w:bidi="ar-JO"/>
              </w:rPr>
              <w:t xml:space="preserve"> وجد)</w:t>
            </w: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الطرف المعني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خطوات العمل الرئيسية للإجراء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#</w:t>
            </w:r>
          </w:p>
        </w:tc>
      </w:tr>
      <w:tr w:rsidR="00B50BF6" w:rsidRPr="00E839F1" w:rsidTr="00B846D1">
        <w:trPr>
          <w:trHeight w:val="1030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0BF6" w:rsidRDefault="00B50BF6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نماذج حصر البيانات</w:t>
            </w:r>
          </w:p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والمعلومات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0BF6" w:rsidRDefault="00B50BF6" w:rsidP="00B846D1">
            <w:pPr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(نهاية كل ربع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سنة)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عند نهاية كل ربع سنة</w:t>
            </w: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مدير إدارة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الاستراتيجية</w:t>
            </w: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 والتخطيط والمتابعة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0BF6" w:rsidRDefault="00B50BF6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>يرسل مدير الإدارة عند نهاية كل ربع سنة النماذج</w:t>
            </w:r>
          </w:p>
          <w:p w:rsidR="00B50BF6" w:rsidRDefault="00B50BF6" w:rsidP="00B846D1">
            <w:pPr>
              <w:bidi/>
              <w:spacing w:line="254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المخصصة لجمع البيانات والمعلومات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إلى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كل الإدارات والمكاتب داخل الهيئة وكذلك شركات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القطاع.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Pr="00AD6480" w:rsidRDefault="00B50BF6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1</w:t>
            </w:r>
          </w:p>
        </w:tc>
      </w:tr>
      <w:tr w:rsidR="00B50BF6" w:rsidRPr="00E839F1" w:rsidTr="00B846D1">
        <w:trPr>
          <w:trHeight w:val="878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نماذج مستوفية البيانات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0BF6" w:rsidRDefault="00B50BF6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نماذج حصر البيانات</w:t>
            </w:r>
          </w:p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والمعلومات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Default="00B50BF6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الإدارات والمكاتب</w:t>
            </w:r>
          </w:p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وشركات القطاع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0BF6" w:rsidRDefault="00B50BF6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>تملأ الإدارات والمكاتب وشركات القطاع النماذج وترسلها</w:t>
            </w:r>
          </w:p>
          <w:p w:rsidR="00B50BF6" w:rsidRDefault="00B50BF6" w:rsidP="00B846D1">
            <w:pPr>
              <w:bidi/>
              <w:spacing w:line="254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إلى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إدارة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الاستراتيجية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والتخطيط والمتابعة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Pr="00AD6480" w:rsidRDefault="00B50BF6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2</w:t>
            </w:r>
          </w:p>
        </w:tc>
      </w:tr>
      <w:tr w:rsidR="00B50BF6" w:rsidRPr="00E839F1" w:rsidTr="00B846D1">
        <w:trPr>
          <w:trHeight w:val="780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0BF6" w:rsidRDefault="00B50BF6" w:rsidP="00B846D1">
            <w:pPr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نماذج مستوفية البيانات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Default="00B50BF6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رئيس قسم البيانات</w:t>
            </w:r>
          </w:p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والمؤشرات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0BF6" w:rsidRDefault="00B50BF6" w:rsidP="00B846D1">
            <w:pPr>
              <w:bidi/>
              <w:spacing w:line="254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يحلل رئيس البيانات والمؤشرات البيانات والمعلومات وصولا بها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إلى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مؤشرات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وإحصائيات.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Pr="00AD6480" w:rsidRDefault="00B50BF6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3</w:t>
            </w:r>
          </w:p>
        </w:tc>
      </w:tr>
      <w:tr w:rsidR="00B50BF6" w:rsidRPr="00E839F1" w:rsidTr="00B846D1">
        <w:trPr>
          <w:trHeight w:val="1264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0BF6" w:rsidRDefault="00B50BF6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 مفرزة</w:t>
            </w:r>
          </w:p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(محلية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ودولية)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0BF6" w:rsidRDefault="00B50BF6" w:rsidP="00B846D1">
            <w:pPr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Default="00B50BF6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موظفي قسم البيانات</w:t>
            </w:r>
          </w:p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والمؤشرات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0BF6" w:rsidRDefault="00B50BF6" w:rsidP="00B846D1">
            <w:pPr>
              <w:bidi/>
              <w:spacing w:line="254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يفوز موظفي قسم البيانات والمؤشرات البيانات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إلى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بيانات محلية وبيانات دولية بناء على القانون الدولي للاتصالات وتحال إلى مدير إدارة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الاستراتيجية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والتخطيط والمتابعة للاعتما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د.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Pr="00AD6480" w:rsidRDefault="00B50BF6" w:rsidP="00B846D1">
            <w:pPr>
              <w:bidi/>
              <w:rPr>
                <w:rFonts w:asciiTheme="minorBidi" w:hAnsiTheme="minorBidi"/>
                <w:color w:val="3B3838" w:themeColor="background2" w:themeShade="40"/>
                <w:rtl/>
              </w:rPr>
            </w:pP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4</w:t>
            </w:r>
          </w:p>
        </w:tc>
      </w:tr>
      <w:tr w:rsidR="00B50BF6" w:rsidRPr="00E839F1" w:rsidTr="00B846D1">
        <w:trPr>
          <w:trHeight w:val="1099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0BF6" w:rsidRDefault="00B50BF6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 مفرزة</w:t>
            </w:r>
          </w:p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(محلية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ودولية)</w:t>
            </w: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 معتمدة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0BF6" w:rsidRDefault="00B50BF6" w:rsidP="00B846D1">
            <w:pPr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 مفرزة</w:t>
            </w:r>
          </w:p>
          <w:p w:rsidR="00B50BF6" w:rsidRDefault="00B50BF6" w:rsidP="00B846D1">
            <w:pPr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(محلية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ودولية)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Default="00B50BF6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مدير إدارة </w:t>
            </w: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الاستراتيجية</w:t>
            </w:r>
          </w:p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والتخطيط والمتابعة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0BF6" w:rsidRDefault="00B50BF6" w:rsidP="00B846D1">
            <w:pPr>
              <w:bidi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يعتمد مدير إدارة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الاستراتيجية</w:t>
            </w: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 والتخطيط والمتابعة البيانات </w:t>
            </w:r>
          </w:p>
          <w:p w:rsidR="00B50BF6" w:rsidRDefault="00B50BF6" w:rsidP="00B846D1">
            <w:pPr>
              <w:bidi/>
              <w:spacing w:line="254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والمؤشرات والإحصائيات ويحيلها إلي رئيس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الهيئة.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Default="00B50BF6" w:rsidP="00B846D1">
            <w:pPr>
              <w:bidi/>
              <w:rPr>
                <w:rFonts w:asciiTheme="minorBidi" w:hAnsiTheme="minorBidi"/>
                <w:color w:val="3B3838" w:themeColor="background2" w:themeShade="40"/>
                <w:rtl/>
              </w:rPr>
            </w:pP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5</w:t>
            </w:r>
          </w:p>
        </w:tc>
      </w:tr>
      <w:tr w:rsidR="00B50BF6" w:rsidRPr="00E839F1" w:rsidTr="00B846D1">
        <w:trPr>
          <w:trHeight w:val="1006"/>
        </w:trPr>
        <w:tc>
          <w:tcPr>
            <w:tcW w:w="251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تم الحفظ</w:t>
            </w:r>
          </w:p>
        </w:tc>
        <w:tc>
          <w:tcPr>
            <w:tcW w:w="2552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Default="00B50BF6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مؤشرات وإحصائيات</w:t>
            </w:r>
          </w:p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 w:hint="cs"/>
                <w:color w:val="3B3838" w:themeColor="background2" w:themeShade="40"/>
                <w:sz w:val="24"/>
                <w:szCs w:val="24"/>
                <w:rtl/>
              </w:rPr>
              <w:t>للاستخدام</w:t>
            </w: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 xml:space="preserve"> والانتشار</w:t>
            </w:r>
          </w:p>
        </w:tc>
        <w:tc>
          <w:tcPr>
            <w:tcW w:w="1984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سنويا</w:t>
            </w:r>
          </w:p>
        </w:tc>
        <w:tc>
          <w:tcPr>
            <w:tcW w:w="198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Default="00B50BF6" w:rsidP="00B846D1">
            <w:pPr>
              <w:bidi/>
              <w:spacing w:line="254" w:lineRule="auto"/>
              <w:jc w:val="center"/>
              <w:rPr>
                <w:rFonts w:asciiTheme="minorBidi" w:hAnsiTheme="minorBid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inorBidi" w:hAnsiTheme="minorBidi"/>
                <w:color w:val="3B3838" w:themeColor="background2" w:themeShade="40"/>
                <w:sz w:val="24"/>
                <w:szCs w:val="24"/>
                <w:rtl/>
              </w:rPr>
              <w:t>مصلحة الإحصاء والتعداد</w:t>
            </w:r>
          </w:p>
        </w:tc>
        <w:tc>
          <w:tcPr>
            <w:tcW w:w="4367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B50BF6" w:rsidRDefault="00B50BF6" w:rsidP="00B846D1">
            <w:pPr>
              <w:bidi/>
              <w:spacing w:line="254" w:lineRule="auto"/>
              <w:rPr>
                <w:rFonts w:asciiTheme="minorBidi" w:hAnsiTheme="minorBidi"/>
                <w:color w:val="3B3838" w:themeColor="background2" w:themeShade="40"/>
              </w:rPr>
            </w:pPr>
            <w:r>
              <w:rPr>
                <w:rFonts w:asciiTheme="minorBidi" w:hAnsiTheme="minorBidi"/>
                <w:color w:val="3B3838" w:themeColor="background2" w:themeShade="40"/>
                <w:rtl/>
              </w:rPr>
              <w:t xml:space="preserve">التنسيق مع مصلحة الإحصاء والتعداد في كتابة الاستبيان الخاص باستخدام وانتشار الاتصالات وتكنولوجيا المعلومات للأسر والأفراد والجهات العامة </w:t>
            </w:r>
            <w:r>
              <w:rPr>
                <w:rFonts w:asciiTheme="minorBidi" w:hAnsiTheme="minorBidi" w:hint="cs"/>
                <w:color w:val="3B3838" w:themeColor="background2" w:themeShade="40"/>
                <w:rtl/>
              </w:rPr>
              <w:t>والخاصة.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50BF6" w:rsidRPr="00AD6480" w:rsidRDefault="00B50BF6" w:rsidP="00B846D1">
            <w:pPr>
              <w:bidi/>
              <w:jc w:val="center"/>
              <w:rPr>
                <w:rFonts w:asciiTheme="minorBidi" w:hAnsiTheme="minorBidi"/>
                <w:color w:val="3B3838" w:themeColor="background2" w:themeShade="40"/>
                <w:rtl/>
              </w:rPr>
            </w:pPr>
            <w:r w:rsidRPr="00AD6480">
              <w:rPr>
                <w:rFonts w:asciiTheme="minorBidi" w:hAnsiTheme="minorBidi"/>
                <w:color w:val="3B3838" w:themeColor="background2" w:themeShade="40"/>
                <w:rtl/>
              </w:rPr>
              <w:t>6</w:t>
            </w:r>
          </w:p>
        </w:tc>
      </w:tr>
    </w:tbl>
    <w:p w:rsidR="00B50BF6" w:rsidRDefault="00B50BF6" w:rsidP="00B50BF6">
      <w:pPr>
        <w:bidi/>
        <w:rPr>
          <w:rtl/>
        </w:rPr>
      </w:pPr>
    </w:p>
    <w:p w:rsidR="00B50BF6" w:rsidRDefault="00B50BF6" w:rsidP="00B50BF6">
      <w:pPr>
        <w:bidi/>
        <w:rPr>
          <w:rtl/>
        </w:rPr>
      </w:pPr>
    </w:p>
    <w:p w:rsidR="00B50BF6" w:rsidRDefault="00B50BF6" w:rsidP="00B50BF6">
      <w:pPr>
        <w:bidi/>
        <w:spacing w:after="0" w:line="240" w:lineRule="auto"/>
        <w:rPr>
          <w:rtl/>
        </w:rPr>
      </w:pPr>
    </w:p>
    <w:p w:rsidR="00B50BF6" w:rsidRPr="00EF4216" w:rsidRDefault="00B50BF6" w:rsidP="00B50BF6">
      <w:pPr>
        <w:bidi/>
        <w:spacing w:after="0" w:line="240" w:lineRule="auto"/>
        <w:rPr>
          <w:color w:val="1F4E79" w:themeColor="accent5" w:themeShade="80"/>
          <w:sz w:val="24"/>
          <w:szCs w:val="24"/>
          <w:rtl/>
          <w:lang w:bidi="ar-LY"/>
        </w:rPr>
      </w:pPr>
      <w:r w:rsidRPr="00E839F1">
        <w:rPr>
          <w:rFonts w:hint="cs"/>
          <w:b/>
          <w:bCs/>
          <w:color w:val="1F4E79" w:themeColor="accent5" w:themeShade="80"/>
          <w:rtl/>
          <w:lang w:bidi="ar-LY"/>
        </w:rPr>
        <w:lastRenderedPageBreak/>
        <w:t>أسم الخدم</w:t>
      </w:r>
      <w:r>
        <w:rPr>
          <w:rFonts w:hint="cs"/>
          <w:b/>
          <w:bCs/>
          <w:color w:val="1F4E79" w:themeColor="accent5" w:themeShade="80"/>
          <w:rtl/>
          <w:lang w:bidi="ar-LY"/>
        </w:rPr>
        <w:t>ــــ</w:t>
      </w:r>
      <w:r w:rsidRPr="00E839F1">
        <w:rPr>
          <w:rFonts w:hint="cs"/>
          <w:b/>
          <w:bCs/>
          <w:color w:val="1F4E79" w:themeColor="accent5" w:themeShade="80"/>
          <w:rtl/>
          <w:lang w:bidi="ar-LY"/>
        </w:rPr>
        <w:t>ة:</w:t>
      </w:r>
      <w:r>
        <w:rPr>
          <w:rFonts w:hint="cs"/>
          <w:b/>
          <w:bCs/>
          <w:color w:val="1F4E79" w:themeColor="accent5" w:themeShade="80"/>
          <w:sz w:val="24"/>
          <w:szCs w:val="24"/>
          <w:rtl/>
          <w:lang w:bidi="ar-LY"/>
        </w:rPr>
        <w:t xml:space="preserve"> </w:t>
      </w:r>
      <w:r>
        <w:rPr>
          <w:rFonts w:asciiTheme="minorBidi" w:hAnsiTheme="minorBidi" w:hint="cs"/>
          <w:b/>
          <w:bCs/>
          <w:color w:val="323E4F" w:themeColor="text2" w:themeShade="BF"/>
          <w:rtl/>
          <w:lang w:bidi="ar-LY"/>
        </w:rPr>
        <w:t>قياس الأثر الاقتصادي والاجتماعي للاتصالات وتكنولوجيا المعلومات.</w:t>
      </w:r>
    </w:p>
    <w:p w:rsidR="00B50BF6" w:rsidRPr="00E839F1" w:rsidRDefault="00B50BF6" w:rsidP="00B50BF6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tbl>
      <w:tblPr>
        <w:tblStyle w:val="TableGrid"/>
        <w:bidiVisual/>
        <w:tblW w:w="13628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35"/>
        <w:gridCol w:w="10528"/>
        <w:gridCol w:w="2265"/>
      </w:tblGrid>
      <w:tr w:rsidR="00B50BF6" w:rsidTr="00B846D1">
        <w:trPr>
          <w:trHeight w:val="368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:rsidR="00B50BF6" w:rsidRPr="00FB32FF" w:rsidRDefault="00B50BF6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المرفقات</w:t>
            </w:r>
          </w:p>
        </w:tc>
        <w:tc>
          <w:tcPr>
            <w:tcW w:w="10528" w:type="dxa"/>
            <w:shd w:val="clear" w:color="auto" w:fill="D9E2F3" w:themeFill="accent1" w:themeFillTint="33"/>
            <w:vAlign w:val="center"/>
          </w:tcPr>
          <w:p w:rsidR="00B50BF6" w:rsidRPr="00FB32FF" w:rsidRDefault="00B50BF6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الاسم</w:t>
            </w:r>
          </w:p>
        </w:tc>
        <w:tc>
          <w:tcPr>
            <w:tcW w:w="2265" w:type="dxa"/>
            <w:shd w:val="clear" w:color="auto" w:fill="D9E2F3" w:themeFill="accent1" w:themeFillTint="33"/>
            <w:vAlign w:val="center"/>
          </w:tcPr>
          <w:p w:rsidR="00B50BF6" w:rsidRPr="00FB32FF" w:rsidRDefault="00B50BF6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عدد الصفحات</w:t>
            </w:r>
          </w:p>
        </w:tc>
      </w:tr>
      <w:tr w:rsidR="00B50BF6" w:rsidTr="00B846D1">
        <w:tc>
          <w:tcPr>
            <w:tcW w:w="835" w:type="dxa"/>
          </w:tcPr>
          <w:p w:rsidR="00B50BF6" w:rsidRPr="00FB32FF" w:rsidRDefault="00B50BF6" w:rsidP="00B846D1">
            <w:pPr>
              <w:pStyle w:val="ListParagraph"/>
              <w:numPr>
                <w:ilvl w:val="0"/>
                <w:numId w:val="2"/>
              </w:numPr>
              <w:bidi/>
              <w:ind w:left="64" w:hanging="50"/>
              <w:rPr>
                <w:b/>
                <w:bCs/>
                <w:color w:val="1F4E79" w:themeColor="accent5" w:themeShade="80"/>
                <w:sz w:val="18"/>
                <w:szCs w:val="18"/>
                <w:rtl/>
                <w:lang w:bidi="ar-LY"/>
              </w:rPr>
            </w:pPr>
          </w:p>
        </w:tc>
        <w:tc>
          <w:tcPr>
            <w:tcW w:w="10528" w:type="dxa"/>
          </w:tcPr>
          <w:p w:rsidR="00B50BF6" w:rsidRPr="00E34135" w:rsidRDefault="00B50BF6" w:rsidP="00B846D1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 xml:space="preserve">لا يوجد </w:t>
            </w:r>
          </w:p>
        </w:tc>
        <w:tc>
          <w:tcPr>
            <w:tcW w:w="2265" w:type="dxa"/>
          </w:tcPr>
          <w:p w:rsidR="00B50BF6" w:rsidRPr="0073711E" w:rsidRDefault="00B50BF6" w:rsidP="00B846D1">
            <w:pPr>
              <w:bidi/>
              <w:rPr>
                <w:color w:val="1F4E79" w:themeColor="accent5" w:themeShade="80"/>
                <w:sz w:val="28"/>
                <w:szCs w:val="28"/>
                <w:rtl/>
                <w:lang w:bidi="ar-LY"/>
              </w:rPr>
            </w:pPr>
          </w:p>
        </w:tc>
      </w:tr>
    </w:tbl>
    <w:p w:rsidR="00B50BF6" w:rsidRDefault="00B50BF6" w:rsidP="00B50BF6">
      <w:pPr>
        <w:bidi/>
        <w:rPr>
          <w:rtl/>
        </w:rPr>
      </w:pPr>
    </w:p>
    <w:p w:rsidR="00B50BF6" w:rsidRPr="002B3C9E" w:rsidRDefault="00B50BF6" w:rsidP="00B50BF6">
      <w:pPr>
        <w:bidi/>
      </w:pPr>
    </w:p>
    <w:tbl>
      <w:tblPr>
        <w:tblW w:w="13813" w:type="dxa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"/>
        <w:gridCol w:w="35"/>
        <w:gridCol w:w="2534"/>
        <w:gridCol w:w="29"/>
        <w:gridCol w:w="2346"/>
        <w:gridCol w:w="35"/>
        <w:gridCol w:w="2348"/>
        <w:gridCol w:w="35"/>
        <w:gridCol w:w="1536"/>
        <w:gridCol w:w="2907"/>
        <w:gridCol w:w="35"/>
        <w:gridCol w:w="1816"/>
        <w:gridCol w:w="101"/>
        <w:gridCol w:w="28"/>
      </w:tblGrid>
      <w:tr w:rsidR="00B50BF6" w:rsidRPr="00E839F1" w:rsidTr="00C13CD1">
        <w:trPr>
          <w:gridAfter w:val="1"/>
          <w:wAfter w:w="28" w:type="dxa"/>
          <w:trHeight w:val="405"/>
          <w:jc w:val="center"/>
        </w:trPr>
        <w:tc>
          <w:tcPr>
            <w:tcW w:w="2597" w:type="dxa"/>
            <w:gridSpan w:val="3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11188" w:type="dxa"/>
            <w:gridSpan w:val="10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فريق التوثيق</w:t>
            </w:r>
          </w:p>
        </w:tc>
      </w:tr>
      <w:tr w:rsidR="00B50BF6" w:rsidRPr="00E839F1" w:rsidTr="00C13CD1">
        <w:trPr>
          <w:gridBefore w:val="2"/>
          <w:gridAfter w:val="2"/>
          <w:wBefore w:w="63" w:type="dxa"/>
          <w:wAfter w:w="129" w:type="dxa"/>
          <w:trHeight w:val="233"/>
          <w:jc w:val="center"/>
        </w:trPr>
        <w:tc>
          <w:tcPr>
            <w:tcW w:w="2563" w:type="dxa"/>
            <w:gridSpan w:val="2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اعتماد</w:t>
            </w:r>
          </w:p>
        </w:tc>
        <w:tc>
          <w:tcPr>
            <w:tcW w:w="2381" w:type="dxa"/>
            <w:gridSpan w:val="2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تاريخ التوثيق</w:t>
            </w:r>
          </w:p>
        </w:tc>
        <w:tc>
          <w:tcPr>
            <w:tcW w:w="2383" w:type="dxa"/>
            <w:gridSpan w:val="2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مقدم المعلومات</w:t>
            </w:r>
          </w:p>
        </w:tc>
        <w:tc>
          <w:tcPr>
            <w:tcW w:w="1536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المراجعة</w:t>
            </w:r>
          </w:p>
        </w:tc>
        <w:tc>
          <w:tcPr>
            <w:tcW w:w="2942" w:type="dxa"/>
            <w:gridSpan w:val="2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ساعد في التوثيق</w:t>
            </w:r>
          </w:p>
        </w:tc>
        <w:tc>
          <w:tcPr>
            <w:tcW w:w="1816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إعداد</w:t>
            </w:r>
          </w:p>
        </w:tc>
      </w:tr>
      <w:tr w:rsidR="00B50BF6" w:rsidRPr="00E839F1" w:rsidTr="00C13CD1">
        <w:trPr>
          <w:gridBefore w:val="1"/>
          <w:wBefore w:w="28" w:type="dxa"/>
          <w:trHeight w:val="2099"/>
          <w:jc w:val="center"/>
        </w:trPr>
        <w:tc>
          <w:tcPr>
            <w:tcW w:w="2598" w:type="dxa"/>
            <w:gridSpan w:val="3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234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50BF6" w:rsidRPr="00E839F1" w:rsidRDefault="00B50BF6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22 /08/2017</w:t>
            </w:r>
          </w:p>
        </w:tc>
        <w:tc>
          <w:tcPr>
            <w:tcW w:w="2383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م. نجمي عبد الله تاته</w:t>
            </w:r>
          </w:p>
          <w:p w:rsidR="00B50BF6" w:rsidRPr="00E839F1" w:rsidRDefault="00B50BF6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1571" w:type="dxa"/>
            <w:gridSpan w:val="2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م. أحمد الحمادي</w:t>
            </w:r>
          </w:p>
        </w:tc>
        <w:tc>
          <w:tcPr>
            <w:tcW w:w="290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BF6" w:rsidRDefault="00B50BF6" w:rsidP="00B846D1">
            <w:pPr>
              <w:pStyle w:val="ListParagraph"/>
              <w:numPr>
                <w:ilvl w:val="0"/>
                <w:numId w:val="31"/>
              </w:num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مهند التركي</w:t>
            </w:r>
          </w:p>
          <w:p w:rsidR="00B50BF6" w:rsidRPr="006918D3" w:rsidRDefault="00B50BF6" w:rsidP="00B846D1">
            <w:pPr>
              <w:pStyle w:val="ListParagraph"/>
              <w:numPr>
                <w:ilvl w:val="0"/>
                <w:numId w:val="31"/>
              </w:num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أحمد القنصل</w:t>
            </w:r>
          </w:p>
        </w:tc>
        <w:tc>
          <w:tcPr>
            <w:tcW w:w="1980" w:type="dxa"/>
            <w:gridSpan w:val="4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0BF6" w:rsidRPr="00E839F1" w:rsidRDefault="00B50BF6" w:rsidP="00B846D1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م. معتز صميدة</w:t>
            </w:r>
          </w:p>
        </w:tc>
      </w:tr>
    </w:tbl>
    <w:p w:rsidR="00B50BF6" w:rsidRDefault="00B50BF6" w:rsidP="00B50BF6">
      <w:pPr>
        <w:bidi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B50BF6" w:rsidRPr="00D97C3E" w:rsidRDefault="00B50BF6" w:rsidP="00B50BF6">
      <w:pPr>
        <w:bidi/>
        <w:rPr>
          <w:b/>
          <w:bCs/>
          <w:color w:val="1F4E79" w:themeColor="accent5" w:themeShade="80"/>
          <w:rtl/>
          <w:lang w:bidi="ar-LY"/>
        </w:rPr>
      </w:pPr>
      <w:r w:rsidRPr="00D97C3E">
        <w:rPr>
          <w:rFonts w:hint="cs"/>
          <w:b/>
          <w:bCs/>
          <w:color w:val="1F4E79" w:themeColor="accent5" w:themeShade="80"/>
          <w:rtl/>
          <w:lang w:bidi="ar-LY"/>
        </w:rPr>
        <w:t>ملاحظات إضافيّة:</w:t>
      </w:r>
    </w:p>
    <w:p w:rsidR="00B50BF6" w:rsidRPr="00D97C3E" w:rsidRDefault="00B50BF6" w:rsidP="00B50BF6">
      <w:pPr>
        <w:pBdr>
          <w:bottom w:val="single" w:sz="6" w:space="1" w:color="auto"/>
        </w:pBdr>
        <w:bidi/>
        <w:spacing w:line="480" w:lineRule="auto"/>
        <w:rPr>
          <w:b/>
          <w:bCs/>
          <w:color w:val="1F4E79" w:themeColor="accent5" w:themeShade="80"/>
          <w:sz w:val="28"/>
          <w:szCs w:val="28"/>
          <w:lang w:bidi="ar-LY"/>
        </w:rPr>
      </w:pP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</w:t>
      </w:r>
    </w:p>
    <w:p w:rsidR="00B50BF6" w:rsidRPr="00B50BF6" w:rsidRDefault="00B50BF6" w:rsidP="00B50BF6"/>
    <w:p w:rsidR="00B47523" w:rsidRPr="00B50BF6" w:rsidRDefault="00B47523" w:rsidP="00B50BF6"/>
    <w:sectPr w:rsidR="00B47523" w:rsidRPr="00B50BF6" w:rsidSect="00B47523">
      <w:headerReference w:type="default" r:id="rId8"/>
      <w:pgSz w:w="15840" w:h="12240" w:orient="landscape"/>
      <w:pgMar w:top="1260" w:right="1080" w:bottom="99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E94" w:rsidRDefault="00FE0E94" w:rsidP="007816E9">
      <w:pPr>
        <w:spacing w:after="0" w:line="240" w:lineRule="auto"/>
      </w:pPr>
      <w:r>
        <w:separator/>
      </w:r>
    </w:p>
  </w:endnote>
  <w:endnote w:type="continuationSeparator" w:id="0">
    <w:p w:rsidR="00FE0E94" w:rsidRDefault="00FE0E94" w:rsidP="007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E94" w:rsidRDefault="00FE0E94" w:rsidP="007816E9">
      <w:pPr>
        <w:spacing w:after="0" w:line="240" w:lineRule="auto"/>
      </w:pPr>
      <w:r>
        <w:separator/>
      </w:r>
    </w:p>
  </w:footnote>
  <w:footnote w:type="continuationSeparator" w:id="0">
    <w:p w:rsidR="00FE0E94" w:rsidRDefault="00FE0E94" w:rsidP="007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68" w:rsidRDefault="00582DDB" w:rsidP="004156C8">
    <w:pPr>
      <w:pStyle w:val="Header"/>
      <w:pBdr>
        <w:bottom w:val="single" w:sz="6" w:space="1" w:color="auto"/>
      </w:pBdr>
      <w:bidi/>
      <w:rPr>
        <w:b/>
        <w:bCs/>
        <w:sz w:val="24"/>
        <w:szCs w:val="24"/>
        <w:rtl/>
      </w:rPr>
    </w:pPr>
    <w:r w:rsidRPr="00D37C30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51415" cy="914400"/>
          <wp:effectExtent l="0" t="0" r="6985" b="0"/>
          <wp:wrapNone/>
          <wp:docPr id="64" name="Picture 64" descr="C:\Users\Preferred Customer\Pictures\ستاند00\خلفية البوربوين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Preferred Customer\Pictures\ستاند00\خلفية البوربوينت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" t="5656" r="792" b="66519"/>
                  <a:stretch/>
                </pic:blipFill>
                <pic:spPr bwMode="auto">
                  <a:xfrm>
                    <a:off x="0" y="0"/>
                    <a:ext cx="10051415" cy="914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D37C30">
      <w:rPr>
        <w:rFonts w:hint="cs"/>
        <w:b/>
        <w:bCs/>
        <w:sz w:val="24"/>
        <w:szCs w:val="24"/>
        <w:rtl/>
      </w:rPr>
      <w:t>الهيئة العامة للاتصالات والمعلوماتية</w:t>
    </w:r>
  </w:p>
  <w:p w:rsidR="00D37C30" w:rsidRPr="00D37C30" w:rsidRDefault="00582DDB" w:rsidP="00D37C30">
    <w:pPr>
      <w:pStyle w:val="Header"/>
      <w:bidi/>
    </w:pPr>
    <w:r>
      <w:rPr>
        <w:rFonts w:hint="cs"/>
        <w:rtl/>
      </w:rPr>
      <w:t>توثيق</w:t>
    </w:r>
    <w:r w:rsidRPr="00D37C30">
      <w:rPr>
        <w:rFonts w:hint="cs"/>
        <w:rtl/>
      </w:rPr>
      <w:t xml:space="preserve"> الوضع الحالي للهيئة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07A"/>
    <w:multiLevelType w:val="hybridMultilevel"/>
    <w:tmpl w:val="7B9230CA"/>
    <w:lvl w:ilvl="0" w:tplc="DFD221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D98"/>
    <w:multiLevelType w:val="hybridMultilevel"/>
    <w:tmpl w:val="ACF01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5C7E"/>
    <w:multiLevelType w:val="hybridMultilevel"/>
    <w:tmpl w:val="4492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05350"/>
    <w:multiLevelType w:val="hybridMultilevel"/>
    <w:tmpl w:val="F81C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B184B"/>
    <w:multiLevelType w:val="hybridMultilevel"/>
    <w:tmpl w:val="6B32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C375F"/>
    <w:multiLevelType w:val="hybridMultilevel"/>
    <w:tmpl w:val="FD4CF020"/>
    <w:lvl w:ilvl="0" w:tplc="CBF4DF16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BA65B65"/>
    <w:multiLevelType w:val="hybridMultilevel"/>
    <w:tmpl w:val="E4144DE4"/>
    <w:lvl w:ilvl="0" w:tplc="8B42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2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A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4B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F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E1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6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1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E1377E"/>
    <w:multiLevelType w:val="hybridMultilevel"/>
    <w:tmpl w:val="244A6E4E"/>
    <w:lvl w:ilvl="0" w:tplc="2D80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42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0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8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C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03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46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69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27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AE2FE2"/>
    <w:multiLevelType w:val="hybridMultilevel"/>
    <w:tmpl w:val="6A62C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D216E"/>
    <w:multiLevelType w:val="hybridMultilevel"/>
    <w:tmpl w:val="7C36C02A"/>
    <w:lvl w:ilvl="0" w:tplc="A9849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4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E4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C0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6C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84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C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4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0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3E431A"/>
    <w:multiLevelType w:val="hybridMultilevel"/>
    <w:tmpl w:val="FD1EF622"/>
    <w:lvl w:ilvl="0" w:tplc="40489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CA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D07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AA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88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4C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8A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F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C3E7C"/>
    <w:multiLevelType w:val="hybridMultilevel"/>
    <w:tmpl w:val="A2EA9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3019C"/>
    <w:multiLevelType w:val="hybridMultilevel"/>
    <w:tmpl w:val="BAF4C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7A2CC1"/>
    <w:multiLevelType w:val="hybridMultilevel"/>
    <w:tmpl w:val="3E9E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860D5"/>
    <w:multiLevelType w:val="hybridMultilevel"/>
    <w:tmpl w:val="4C82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F0CE4"/>
    <w:multiLevelType w:val="multilevel"/>
    <w:tmpl w:val="679EB39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AF7973"/>
    <w:multiLevelType w:val="hybridMultilevel"/>
    <w:tmpl w:val="08BEA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9F74FB"/>
    <w:multiLevelType w:val="hybridMultilevel"/>
    <w:tmpl w:val="4B0684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11CDB"/>
    <w:multiLevelType w:val="hybridMultilevel"/>
    <w:tmpl w:val="4B74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D5DAC"/>
    <w:multiLevelType w:val="hybridMultilevel"/>
    <w:tmpl w:val="40349D08"/>
    <w:lvl w:ilvl="0" w:tplc="B23078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F360E"/>
    <w:multiLevelType w:val="hybridMultilevel"/>
    <w:tmpl w:val="D20A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4341D"/>
    <w:multiLevelType w:val="hybridMultilevel"/>
    <w:tmpl w:val="DE1E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25BD6"/>
    <w:multiLevelType w:val="hybridMultilevel"/>
    <w:tmpl w:val="F69E9FA2"/>
    <w:lvl w:ilvl="0" w:tplc="87CAB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EC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0A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86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0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83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8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29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AF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9062C5"/>
    <w:multiLevelType w:val="hybridMultilevel"/>
    <w:tmpl w:val="DA6C1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55BD6"/>
    <w:multiLevelType w:val="hybridMultilevel"/>
    <w:tmpl w:val="C102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D7262"/>
    <w:multiLevelType w:val="hybridMultilevel"/>
    <w:tmpl w:val="010EEDF8"/>
    <w:lvl w:ilvl="0" w:tplc="4350C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6F2E79"/>
    <w:multiLevelType w:val="hybridMultilevel"/>
    <w:tmpl w:val="0EDE9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4112A9"/>
    <w:multiLevelType w:val="hybridMultilevel"/>
    <w:tmpl w:val="32A0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208EB"/>
    <w:multiLevelType w:val="hybridMultilevel"/>
    <w:tmpl w:val="6B9A86E6"/>
    <w:lvl w:ilvl="0" w:tplc="27381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113FE"/>
    <w:multiLevelType w:val="hybridMultilevel"/>
    <w:tmpl w:val="45A8A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E08A7"/>
    <w:multiLevelType w:val="hybridMultilevel"/>
    <w:tmpl w:val="1C7E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85FFA"/>
    <w:multiLevelType w:val="hybridMultilevel"/>
    <w:tmpl w:val="8610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8"/>
  </w:num>
  <w:num w:numId="5">
    <w:abstractNumId w:val="19"/>
  </w:num>
  <w:num w:numId="6">
    <w:abstractNumId w:val="15"/>
  </w:num>
  <w:num w:numId="7">
    <w:abstractNumId w:val="14"/>
  </w:num>
  <w:num w:numId="8">
    <w:abstractNumId w:val="25"/>
  </w:num>
  <w:num w:numId="9">
    <w:abstractNumId w:val="9"/>
  </w:num>
  <w:num w:numId="10">
    <w:abstractNumId w:val="6"/>
  </w:num>
  <w:num w:numId="11">
    <w:abstractNumId w:val="10"/>
  </w:num>
  <w:num w:numId="12">
    <w:abstractNumId w:val="5"/>
  </w:num>
  <w:num w:numId="13">
    <w:abstractNumId w:val="22"/>
  </w:num>
  <w:num w:numId="14">
    <w:abstractNumId w:val="7"/>
  </w:num>
  <w:num w:numId="15">
    <w:abstractNumId w:val="26"/>
  </w:num>
  <w:num w:numId="16">
    <w:abstractNumId w:val="27"/>
  </w:num>
  <w:num w:numId="17">
    <w:abstractNumId w:val="18"/>
  </w:num>
  <w:num w:numId="18">
    <w:abstractNumId w:val="24"/>
  </w:num>
  <w:num w:numId="19">
    <w:abstractNumId w:val="20"/>
  </w:num>
  <w:num w:numId="20">
    <w:abstractNumId w:val="3"/>
  </w:num>
  <w:num w:numId="21">
    <w:abstractNumId w:val="16"/>
  </w:num>
  <w:num w:numId="22">
    <w:abstractNumId w:val="4"/>
  </w:num>
  <w:num w:numId="23">
    <w:abstractNumId w:val="12"/>
  </w:num>
  <w:num w:numId="24">
    <w:abstractNumId w:val="30"/>
  </w:num>
  <w:num w:numId="25">
    <w:abstractNumId w:val="2"/>
  </w:num>
  <w:num w:numId="26">
    <w:abstractNumId w:val="21"/>
  </w:num>
  <w:num w:numId="27">
    <w:abstractNumId w:val="13"/>
  </w:num>
  <w:num w:numId="28">
    <w:abstractNumId w:val="31"/>
  </w:num>
  <w:num w:numId="29">
    <w:abstractNumId w:val="23"/>
  </w:num>
  <w:num w:numId="30">
    <w:abstractNumId w:val="17"/>
  </w:num>
  <w:num w:numId="31">
    <w:abstractNumId w:val="1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E9"/>
    <w:rsid w:val="0000437B"/>
    <w:rsid w:val="0002217A"/>
    <w:rsid w:val="0003795C"/>
    <w:rsid w:val="00037D10"/>
    <w:rsid w:val="00045915"/>
    <w:rsid w:val="0005038E"/>
    <w:rsid w:val="00053561"/>
    <w:rsid w:val="00090CC0"/>
    <w:rsid w:val="000C4575"/>
    <w:rsid w:val="000E110E"/>
    <w:rsid w:val="000E7DA9"/>
    <w:rsid w:val="00130ED0"/>
    <w:rsid w:val="00136EE1"/>
    <w:rsid w:val="0014064D"/>
    <w:rsid w:val="00142113"/>
    <w:rsid w:val="00143719"/>
    <w:rsid w:val="00152B77"/>
    <w:rsid w:val="00153DA5"/>
    <w:rsid w:val="00157BBF"/>
    <w:rsid w:val="00171DD1"/>
    <w:rsid w:val="00180773"/>
    <w:rsid w:val="001828C2"/>
    <w:rsid w:val="00185B7D"/>
    <w:rsid w:val="001942CF"/>
    <w:rsid w:val="001C66C4"/>
    <w:rsid w:val="001D5753"/>
    <w:rsid w:val="00215819"/>
    <w:rsid w:val="002365AC"/>
    <w:rsid w:val="002368C0"/>
    <w:rsid w:val="002450E6"/>
    <w:rsid w:val="0026514F"/>
    <w:rsid w:val="00266222"/>
    <w:rsid w:val="002836DC"/>
    <w:rsid w:val="0028443B"/>
    <w:rsid w:val="002C1AA3"/>
    <w:rsid w:val="002C3B94"/>
    <w:rsid w:val="002E0F0C"/>
    <w:rsid w:val="002E23F0"/>
    <w:rsid w:val="00303F5B"/>
    <w:rsid w:val="00306484"/>
    <w:rsid w:val="00307DC0"/>
    <w:rsid w:val="0032344C"/>
    <w:rsid w:val="0034102F"/>
    <w:rsid w:val="00342ABF"/>
    <w:rsid w:val="00350632"/>
    <w:rsid w:val="00382DE6"/>
    <w:rsid w:val="00387B0E"/>
    <w:rsid w:val="003A47CE"/>
    <w:rsid w:val="003B3C9B"/>
    <w:rsid w:val="003C5FAD"/>
    <w:rsid w:val="003C7F4E"/>
    <w:rsid w:val="003D61BB"/>
    <w:rsid w:val="0040587A"/>
    <w:rsid w:val="00416EC4"/>
    <w:rsid w:val="00457AB4"/>
    <w:rsid w:val="00460514"/>
    <w:rsid w:val="00467256"/>
    <w:rsid w:val="00483773"/>
    <w:rsid w:val="00494C80"/>
    <w:rsid w:val="004A4235"/>
    <w:rsid w:val="004A53CA"/>
    <w:rsid w:val="004B11CA"/>
    <w:rsid w:val="004F715B"/>
    <w:rsid w:val="00505C5A"/>
    <w:rsid w:val="005356BD"/>
    <w:rsid w:val="00541D64"/>
    <w:rsid w:val="00547DBA"/>
    <w:rsid w:val="00577F71"/>
    <w:rsid w:val="00582DDB"/>
    <w:rsid w:val="00591F45"/>
    <w:rsid w:val="005B6860"/>
    <w:rsid w:val="005D4032"/>
    <w:rsid w:val="005D4C23"/>
    <w:rsid w:val="005D5A08"/>
    <w:rsid w:val="005F4E5B"/>
    <w:rsid w:val="0060138D"/>
    <w:rsid w:val="00613095"/>
    <w:rsid w:val="006353EC"/>
    <w:rsid w:val="00645EE8"/>
    <w:rsid w:val="00647978"/>
    <w:rsid w:val="00650425"/>
    <w:rsid w:val="006665A2"/>
    <w:rsid w:val="00671A27"/>
    <w:rsid w:val="00673D82"/>
    <w:rsid w:val="00674A60"/>
    <w:rsid w:val="0067753D"/>
    <w:rsid w:val="006918D3"/>
    <w:rsid w:val="006A4963"/>
    <w:rsid w:val="006B7631"/>
    <w:rsid w:val="006C773C"/>
    <w:rsid w:val="006D7783"/>
    <w:rsid w:val="006E1CE1"/>
    <w:rsid w:val="006F17C1"/>
    <w:rsid w:val="006F1FEA"/>
    <w:rsid w:val="00727A9E"/>
    <w:rsid w:val="0073711E"/>
    <w:rsid w:val="00741F63"/>
    <w:rsid w:val="00744019"/>
    <w:rsid w:val="00760D15"/>
    <w:rsid w:val="007660FD"/>
    <w:rsid w:val="00767A81"/>
    <w:rsid w:val="00776E18"/>
    <w:rsid w:val="007816E9"/>
    <w:rsid w:val="00787F97"/>
    <w:rsid w:val="00791E55"/>
    <w:rsid w:val="007A06A1"/>
    <w:rsid w:val="007C1D85"/>
    <w:rsid w:val="007E166C"/>
    <w:rsid w:val="007E2DBB"/>
    <w:rsid w:val="007E37A6"/>
    <w:rsid w:val="007E632E"/>
    <w:rsid w:val="007F52EE"/>
    <w:rsid w:val="00806BD4"/>
    <w:rsid w:val="00807AEE"/>
    <w:rsid w:val="008131AB"/>
    <w:rsid w:val="00841022"/>
    <w:rsid w:val="008475EE"/>
    <w:rsid w:val="00876FB5"/>
    <w:rsid w:val="00895DA0"/>
    <w:rsid w:val="008A7366"/>
    <w:rsid w:val="008A7A0C"/>
    <w:rsid w:val="008C24F0"/>
    <w:rsid w:val="008D1B3C"/>
    <w:rsid w:val="008E37D4"/>
    <w:rsid w:val="00946DF1"/>
    <w:rsid w:val="0095400E"/>
    <w:rsid w:val="0095745C"/>
    <w:rsid w:val="0096533D"/>
    <w:rsid w:val="009849DD"/>
    <w:rsid w:val="0099354A"/>
    <w:rsid w:val="009C05BF"/>
    <w:rsid w:val="009C753E"/>
    <w:rsid w:val="009D4121"/>
    <w:rsid w:val="009D72B5"/>
    <w:rsid w:val="009E6702"/>
    <w:rsid w:val="009F060D"/>
    <w:rsid w:val="009F3FB5"/>
    <w:rsid w:val="00A23B91"/>
    <w:rsid w:val="00A53C3A"/>
    <w:rsid w:val="00A66107"/>
    <w:rsid w:val="00A706B9"/>
    <w:rsid w:val="00AD6480"/>
    <w:rsid w:val="00AE6812"/>
    <w:rsid w:val="00AF1FD9"/>
    <w:rsid w:val="00AF7366"/>
    <w:rsid w:val="00B02C23"/>
    <w:rsid w:val="00B10321"/>
    <w:rsid w:val="00B110BB"/>
    <w:rsid w:val="00B11359"/>
    <w:rsid w:val="00B4512B"/>
    <w:rsid w:val="00B47523"/>
    <w:rsid w:val="00B50BF6"/>
    <w:rsid w:val="00B51224"/>
    <w:rsid w:val="00B562D3"/>
    <w:rsid w:val="00B62C32"/>
    <w:rsid w:val="00B63121"/>
    <w:rsid w:val="00B76D46"/>
    <w:rsid w:val="00BA408C"/>
    <w:rsid w:val="00BB7428"/>
    <w:rsid w:val="00BD0270"/>
    <w:rsid w:val="00C00F5B"/>
    <w:rsid w:val="00C10C10"/>
    <w:rsid w:val="00C10DEC"/>
    <w:rsid w:val="00C13CD1"/>
    <w:rsid w:val="00C146FA"/>
    <w:rsid w:val="00C378B1"/>
    <w:rsid w:val="00C515DC"/>
    <w:rsid w:val="00C768B1"/>
    <w:rsid w:val="00C86988"/>
    <w:rsid w:val="00CC4C27"/>
    <w:rsid w:val="00CC6C08"/>
    <w:rsid w:val="00CD2A81"/>
    <w:rsid w:val="00CD337B"/>
    <w:rsid w:val="00CD62A3"/>
    <w:rsid w:val="00D243B1"/>
    <w:rsid w:val="00D333C9"/>
    <w:rsid w:val="00D40040"/>
    <w:rsid w:val="00D6234D"/>
    <w:rsid w:val="00D77559"/>
    <w:rsid w:val="00D7780F"/>
    <w:rsid w:val="00D92F20"/>
    <w:rsid w:val="00D97C3E"/>
    <w:rsid w:val="00DC264F"/>
    <w:rsid w:val="00DC5B2B"/>
    <w:rsid w:val="00DC629B"/>
    <w:rsid w:val="00DF576B"/>
    <w:rsid w:val="00E12753"/>
    <w:rsid w:val="00E34135"/>
    <w:rsid w:val="00E4372A"/>
    <w:rsid w:val="00E77DEA"/>
    <w:rsid w:val="00E839F1"/>
    <w:rsid w:val="00E87450"/>
    <w:rsid w:val="00E92618"/>
    <w:rsid w:val="00E96824"/>
    <w:rsid w:val="00EA01D9"/>
    <w:rsid w:val="00EB0886"/>
    <w:rsid w:val="00EB6010"/>
    <w:rsid w:val="00EC1554"/>
    <w:rsid w:val="00EE4896"/>
    <w:rsid w:val="00EF4216"/>
    <w:rsid w:val="00F02769"/>
    <w:rsid w:val="00F153D8"/>
    <w:rsid w:val="00F20EDA"/>
    <w:rsid w:val="00F21CAF"/>
    <w:rsid w:val="00F225C3"/>
    <w:rsid w:val="00F32174"/>
    <w:rsid w:val="00F34275"/>
    <w:rsid w:val="00F42146"/>
    <w:rsid w:val="00F93AC5"/>
    <w:rsid w:val="00F944E8"/>
    <w:rsid w:val="00FA02E8"/>
    <w:rsid w:val="00FA7109"/>
    <w:rsid w:val="00FB1C59"/>
    <w:rsid w:val="00FB422A"/>
    <w:rsid w:val="00FD3577"/>
    <w:rsid w:val="00FE0E94"/>
    <w:rsid w:val="00FE4163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EF288C-83DD-4BA1-BC47-B4CDB9C6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E9"/>
  </w:style>
  <w:style w:type="table" w:styleId="TableGrid">
    <w:name w:val="Table Grid"/>
    <w:basedOn w:val="TableNormal"/>
    <w:uiPriority w:val="39"/>
    <w:rsid w:val="0078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6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E9"/>
  </w:style>
  <w:style w:type="paragraph" w:customStyle="1" w:styleId="text">
    <w:name w:val="text"/>
    <w:basedOn w:val="Normal"/>
    <w:rsid w:val="00DC6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629B"/>
  </w:style>
  <w:style w:type="character" w:styleId="Hyperlink">
    <w:name w:val="Hyperlink"/>
    <w:basedOn w:val="DefaultParagraphFont"/>
    <w:uiPriority w:val="99"/>
    <w:semiHidden/>
    <w:unhideWhenUsed/>
    <w:rsid w:val="00DC6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76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3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07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5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52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533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36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51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906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6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7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7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7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9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56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5F710-267C-4256-AB39-A417C3D2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ElGhoul</dc:creator>
  <cp:lastModifiedBy>Elhadi</cp:lastModifiedBy>
  <cp:revision>2</cp:revision>
  <dcterms:created xsi:type="dcterms:W3CDTF">2017-10-04T19:02:00Z</dcterms:created>
  <dcterms:modified xsi:type="dcterms:W3CDTF">2017-10-04T19:02:00Z</dcterms:modified>
</cp:coreProperties>
</file>