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52C8" w14:textId="163CA16E" w:rsidR="00ED123E" w:rsidRPr="00ED123E" w:rsidRDefault="00ED123E" w:rsidP="00F8125E">
      <w:pPr>
        <w:spacing w:before="100" w:beforeAutospacing="1" w:after="100" w:afterAutospacing="1" w:line="240" w:lineRule="auto"/>
        <w:jc w:val="both"/>
        <w:rPr>
          <w:rFonts w:ascii="Trebuchet MS" w:eastAsia="Times New Roman" w:hAnsi="Trebuchet MS" w:cs="Times New Roman"/>
          <w:sz w:val="24"/>
          <w:szCs w:val="24"/>
        </w:rPr>
      </w:pPr>
      <w:r w:rsidRPr="00ED123E">
        <w:rPr>
          <w:rFonts w:ascii="Trebuchet MS" w:eastAsia="Times New Roman" w:hAnsi="Trebuchet MS" w:cs="Times New Roman"/>
          <w:b/>
          <w:bCs/>
          <w:sz w:val="24"/>
          <w:szCs w:val="24"/>
        </w:rPr>
        <w:t>Exploratory Data Analysis</w:t>
      </w:r>
    </w:p>
    <w:p w14:paraId="6776BB4A" w14:textId="647BB0E5" w:rsidR="00ED123E" w:rsidRPr="00ED123E" w:rsidRDefault="00ED123E" w:rsidP="00F8125E">
      <w:pPr>
        <w:spacing w:before="100" w:beforeAutospacing="1" w:after="100" w:afterAutospacing="1" w:line="240" w:lineRule="auto"/>
        <w:jc w:val="both"/>
        <w:rPr>
          <w:rFonts w:ascii="Trebuchet MS" w:eastAsia="Times New Roman" w:hAnsi="Trebuchet MS" w:cs="Times New Roman"/>
          <w:sz w:val="24"/>
          <w:szCs w:val="24"/>
        </w:rPr>
      </w:pPr>
      <w:r w:rsidRPr="00ED123E">
        <w:rPr>
          <w:rFonts w:ascii="Trebuchet MS" w:eastAsia="Times New Roman" w:hAnsi="Trebuchet MS" w:cs="Times New Roman"/>
          <w:sz w:val="24"/>
          <w:szCs w:val="24"/>
        </w:rPr>
        <w:t xml:space="preserve">The analysis began with exploratory techniques to gain a clear overview of the EV dataset. The process started by cleaning and standardizing the data, then using summary statistics and visualizations—such as charts, and geographic maps—to reveal key trends. For instance, a strong preference for </w:t>
      </w:r>
      <w:r w:rsidRPr="00151370">
        <w:rPr>
          <w:rFonts w:ascii="Trebuchet MS" w:eastAsia="Times New Roman" w:hAnsi="Trebuchet MS" w:cs="Times New Roman"/>
          <w:sz w:val="24"/>
          <w:szCs w:val="24"/>
        </w:rPr>
        <w:t>BEVs</w:t>
      </w:r>
      <w:r w:rsidRPr="00ED123E">
        <w:rPr>
          <w:rFonts w:ascii="Trebuchet MS" w:eastAsia="Times New Roman" w:hAnsi="Trebuchet MS" w:cs="Times New Roman"/>
          <w:sz w:val="24"/>
          <w:szCs w:val="24"/>
        </w:rPr>
        <w:t xml:space="preserve"> over </w:t>
      </w:r>
      <w:r w:rsidRPr="00151370">
        <w:rPr>
          <w:rFonts w:ascii="Trebuchet MS" w:eastAsia="Times New Roman" w:hAnsi="Trebuchet MS" w:cs="Times New Roman"/>
          <w:sz w:val="24"/>
          <w:szCs w:val="24"/>
        </w:rPr>
        <w:t xml:space="preserve">PHEVs </w:t>
      </w:r>
      <w:r w:rsidRPr="00ED123E">
        <w:rPr>
          <w:rFonts w:ascii="Trebuchet MS" w:eastAsia="Times New Roman" w:hAnsi="Trebuchet MS" w:cs="Times New Roman"/>
          <w:sz w:val="24"/>
          <w:szCs w:val="24"/>
        </w:rPr>
        <w:t>was observed, along with significant regional adoption differences and varied battery ranges that could affect overall market growth.</w:t>
      </w:r>
    </w:p>
    <w:p w14:paraId="50FBF0CE" w14:textId="77777777" w:rsidR="00ED123E" w:rsidRPr="00ED123E" w:rsidRDefault="00ED123E" w:rsidP="00F8125E">
      <w:pPr>
        <w:spacing w:before="100" w:beforeAutospacing="1" w:after="100" w:afterAutospacing="1" w:line="240" w:lineRule="auto"/>
        <w:jc w:val="both"/>
        <w:rPr>
          <w:rFonts w:ascii="Trebuchet MS" w:eastAsia="Times New Roman" w:hAnsi="Trebuchet MS" w:cs="Times New Roman"/>
          <w:sz w:val="24"/>
          <w:szCs w:val="24"/>
        </w:rPr>
      </w:pPr>
      <w:r w:rsidRPr="00ED123E">
        <w:rPr>
          <w:rFonts w:ascii="Trebuchet MS" w:eastAsia="Times New Roman" w:hAnsi="Trebuchet MS" w:cs="Times New Roman"/>
          <w:sz w:val="24"/>
          <w:szCs w:val="24"/>
        </w:rPr>
        <w:t>Key questions were established to guide the analysis:</w:t>
      </w:r>
    </w:p>
    <w:p w14:paraId="6C51F064" w14:textId="03EA5034" w:rsidR="00ED123E" w:rsidRPr="00ED123E" w:rsidRDefault="00ED123E" w:rsidP="00F8125E">
      <w:pPr>
        <w:spacing w:before="100" w:beforeAutospacing="1" w:after="100" w:afterAutospacing="1" w:line="240" w:lineRule="auto"/>
        <w:ind w:left="720"/>
        <w:jc w:val="both"/>
        <w:rPr>
          <w:rFonts w:ascii="Trebuchet MS" w:eastAsia="Times New Roman" w:hAnsi="Trebuchet MS" w:cs="Times New Roman"/>
          <w:i/>
          <w:iCs/>
          <w:sz w:val="24"/>
          <w:szCs w:val="24"/>
        </w:rPr>
      </w:pPr>
      <w:r w:rsidRPr="00151370">
        <w:rPr>
          <w:rFonts w:ascii="Trebuchet MS" w:eastAsia="Times New Roman" w:hAnsi="Trebuchet MS" w:cs="Times New Roman"/>
          <w:i/>
          <w:iCs/>
          <w:sz w:val="24"/>
          <w:szCs w:val="24"/>
        </w:rPr>
        <w:t xml:space="preserve">? </w:t>
      </w:r>
      <w:r w:rsidRPr="00ED123E">
        <w:rPr>
          <w:rFonts w:ascii="Trebuchet MS" w:eastAsia="Times New Roman" w:hAnsi="Trebuchet MS" w:cs="Times New Roman"/>
          <w:i/>
          <w:iCs/>
          <w:sz w:val="24"/>
          <w:szCs w:val="24"/>
        </w:rPr>
        <w:t>What drives the regional differences in EV adoption?</w:t>
      </w:r>
    </w:p>
    <w:p w14:paraId="1E801934" w14:textId="3B5DC86D" w:rsidR="00ED123E" w:rsidRPr="00ED123E" w:rsidRDefault="00ED123E" w:rsidP="00F8125E">
      <w:pPr>
        <w:spacing w:before="100" w:beforeAutospacing="1" w:after="100" w:afterAutospacing="1" w:line="240" w:lineRule="auto"/>
        <w:ind w:left="720"/>
        <w:jc w:val="both"/>
        <w:rPr>
          <w:rFonts w:ascii="Trebuchet MS" w:eastAsia="Times New Roman" w:hAnsi="Trebuchet MS" w:cs="Times New Roman"/>
          <w:i/>
          <w:iCs/>
          <w:sz w:val="24"/>
          <w:szCs w:val="24"/>
        </w:rPr>
      </w:pPr>
      <w:r w:rsidRPr="00151370">
        <w:rPr>
          <w:rFonts w:ascii="Trebuchet MS" w:eastAsia="Times New Roman" w:hAnsi="Trebuchet MS" w:cs="Times New Roman"/>
          <w:i/>
          <w:iCs/>
          <w:sz w:val="24"/>
          <w:szCs w:val="24"/>
        </w:rPr>
        <w:t xml:space="preserve">? </w:t>
      </w:r>
      <w:r w:rsidRPr="00ED123E">
        <w:rPr>
          <w:rFonts w:ascii="Trebuchet MS" w:eastAsia="Times New Roman" w:hAnsi="Trebuchet MS" w:cs="Times New Roman"/>
          <w:i/>
          <w:iCs/>
          <w:sz w:val="24"/>
          <w:szCs w:val="24"/>
        </w:rPr>
        <w:t>How do vehicle types and battery ranges influence market growth?</w:t>
      </w:r>
    </w:p>
    <w:p w14:paraId="20B73AA3" w14:textId="139964F8" w:rsidR="00ED123E" w:rsidRPr="00151370" w:rsidRDefault="00ED123E" w:rsidP="00F8125E">
      <w:pPr>
        <w:spacing w:before="100" w:beforeAutospacing="1" w:after="100" w:afterAutospacing="1" w:line="240" w:lineRule="auto"/>
        <w:ind w:left="720"/>
        <w:jc w:val="both"/>
        <w:rPr>
          <w:rFonts w:ascii="Trebuchet MS" w:eastAsia="Times New Roman" w:hAnsi="Trebuchet MS" w:cs="Times New Roman"/>
          <w:i/>
          <w:iCs/>
          <w:sz w:val="24"/>
          <w:szCs w:val="24"/>
        </w:rPr>
      </w:pPr>
      <w:r w:rsidRPr="00151370">
        <w:rPr>
          <w:rFonts w:ascii="Trebuchet MS" w:eastAsia="Times New Roman" w:hAnsi="Trebuchet MS" w:cs="Times New Roman"/>
          <w:i/>
          <w:iCs/>
          <w:sz w:val="24"/>
          <w:szCs w:val="24"/>
        </w:rPr>
        <w:t xml:space="preserve">? </w:t>
      </w:r>
      <w:r w:rsidRPr="00ED123E">
        <w:rPr>
          <w:rFonts w:ascii="Trebuchet MS" w:eastAsia="Times New Roman" w:hAnsi="Trebuchet MS" w:cs="Times New Roman"/>
          <w:i/>
          <w:iCs/>
          <w:sz w:val="24"/>
          <w:szCs w:val="24"/>
        </w:rPr>
        <w:t>What factors are critical for Clean Alternative Fuel Vehicle (CAFV) eligibility?</w:t>
      </w:r>
    </w:p>
    <w:p w14:paraId="56A0C4E4" w14:textId="37346AAD" w:rsidR="00062824" w:rsidRPr="00151370" w:rsidRDefault="00CF198B" w:rsidP="00F8125E">
      <w:pPr>
        <w:jc w:val="both"/>
        <w:rPr>
          <w:rFonts w:ascii="Trebuchet MS" w:hAnsi="Trebuchet MS" w:cs="Times New Roman"/>
          <w:b/>
          <w:bCs/>
          <w:sz w:val="24"/>
          <w:szCs w:val="24"/>
        </w:rPr>
      </w:pPr>
      <w:r w:rsidRPr="00151370">
        <w:rPr>
          <w:rFonts w:ascii="Trebuchet MS" w:hAnsi="Trebuchet MS" w:cs="Times New Roman"/>
          <w:b/>
          <w:bCs/>
          <w:sz w:val="24"/>
          <w:szCs w:val="24"/>
        </w:rPr>
        <w:t>Key Findings</w:t>
      </w:r>
    </w:p>
    <w:p w14:paraId="5EB7061C" w14:textId="77777777" w:rsidR="00DB25C6" w:rsidRPr="00151370" w:rsidRDefault="00062824" w:rsidP="00F8125E">
      <w:pPr>
        <w:pStyle w:val="NormalWeb"/>
        <w:spacing w:after="0" w:afterAutospacing="0"/>
        <w:jc w:val="both"/>
        <w:rPr>
          <w:rFonts w:ascii="Trebuchet MS" w:hAnsi="Trebuchet MS"/>
        </w:rPr>
      </w:pPr>
      <w:r w:rsidRPr="00151370">
        <w:rPr>
          <w:rStyle w:val="Strong"/>
          <w:rFonts w:ascii="Trebuchet MS" w:hAnsi="Trebuchet MS"/>
        </w:rPr>
        <w:t>Total Vehicle</w:t>
      </w:r>
    </w:p>
    <w:p w14:paraId="281BF933" w14:textId="552A6617" w:rsidR="00062824" w:rsidRPr="00151370" w:rsidRDefault="00062824" w:rsidP="00F8125E">
      <w:pPr>
        <w:pStyle w:val="NormalWeb"/>
        <w:spacing w:before="0" w:beforeAutospacing="0"/>
        <w:jc w:val="both"/>
        <w:rPr>
          <w:rFonts w:ascii="Trebuchet MS" w:hAnsi="Trebuchet MS"/>
          <w:b/>
          <w:bCs/>
        </w:rPr>
      </w:pPr>
      <w:r w:rsidRPr="00151370">
        <w:rPr>
          <w:rFonts w:ascii="Trebuchet MS" w:hAnsi="Trebuchet MS"/>
        </w:rPr>
        <w:t xml:space="preserve">Diving into the dataset reveals a total fleet of 173,533 Electric Vehicles </w:t>
      </w:r>
      <w:r w:rsidR="00185991" w:rsidRPr="00151370">
        <w:rPr>
          <w:rFonts w:ascii="Trebuchet MS" w:hAnsi="Trebuchet MS"/>
        </w:rPr>
        <w:t>cruising on American roads</w:t>
      </w:r>
      <w:r w:rsidRPr="00151370">
        <w:rPr>
          <w:rFonts w:ascii="Trebuchet MS" w:hAnsi="Trebuchet MS"/>
        </w:rPr>
        <w:t>. It’s clear that the EV revolution is gaining momentum and reshaping transportation</w:t>
      </w:r>
      <w:r w:rsidRPr="00151370">
        <w:rPr>
          <w:rFonts w:ascii="Trebuchet MS" w:hAnsi="Trebuchet MS"/>
        </w:rPr>
        <w:softHyphen/>
        <w:t>.</w:t>
      </w:r>
      <w:r w:rsidR="00185991" w:rsidRPr="00151370">
        <w:rPr>
          <w:rFonts w:ascii="Trebuchet MS" w:hAnsi="Trebuchet MS"/>
        </w:rPr>
        <w:t xml:space="preserve"> Stakeholders should note</w:t>
      </w:r>
      <w:r w:rsidR="00151370">
        <w:rPr>
          <w:rFonts w:ascii="Trebuchet MS" w:hAnsi="Trebuchet MS"/>
        </w:rPr>
        <w:t xml:space="preserve">, </w:t>
      </w:r>
      <w:r w:rsidR="00185991" w:rsidRPr="00151370">
        <w:rPr>
          <w:rFonts w:ascii="Trebuchet MS" w:hAnsi="Trebuchet MS"/>
        </w:rPr>
        <w:t>this is not just a trend</w:t>
      </w:r>
      <w:r w:rsidR="00151370">
        <w:rPr>
          <w:rFonts w:ascii="Trebuchet MS" w:hAnsi="Trebuchet MS"/>
        </w:rPr>
        <w:t>, but,</w:t>
      </w:r>
      <w:r w:rsidR="00185991" w:rsidRPr="00151370">
        <w:rPr>
          <w:rFonts w:ascii="Trebuchet MS" w:hAnsi="Trebuchet MS"/>
        </w:rPr>
        <w:t xml:space="preserve"> the future unfolding before us.</w:t>
      </w:r>
    </w:p>
    <w:p w14:paraId="50150766" w14:textId="77777777" w:rsidR="00DB25C6" w:rsidRPr="00151370" w:rsidRDefault="00062824" w:rsidP="00F8125E">
      <w:pPr>
        <w:pStyle w:val="NormalWeb"/>
        <w:spacing w:after="0" w:afterAutospacing="0"/>
        <w:jc w:val="both"/>
        <w:rPr>
          <w:rFonts w:ascii="Trebuchet MS" w:hAnsi="Trebuchet MS"/>
        </w:rPr>
      </w:pPr>
      <w:r w:rsidRPr="00151370">
        <w:rPr>
          <w:rStyle w:val="Strong"/>
          <w:rFonts w:ascii="Trebuchet MS" w:hAnsi="Trebuchet MS"/>
        </w:rPr>
        <w:t>Geographical Distribution</w:t>
      </w:r>
    </w:p>
    <w:p w14:paraId="5433D0D3" w14:textId="28097806" w:rsidR="00062824" w:rsidRPr="00151370" w:rsidRDefault="00062824" w:rsidP="00F8125E">
      <w:pPr>
        <w:pStyle w:val="NormalWeb"/>
        <w:spacing w:before="0" w:beforeAutospacing="0"/>
        <w:jc w:val="both"/>
        <w:rPr>
          <w:rFonts w:ascii="Trebuchet MS" w:hAnsi="Trebuchet MS"/>
        </w:rPr>
      </w:pPr>
      <w:r w:rsidRPr="00151370">
        <w:rPr>
          <w:rFonts w:ascii="Trebuchet MS" w:hAnsi="Trebuchet MS"/>
        </w:rPr>
        <w:t>Mapping out the EV landscape in the USA shows that EVs are present in 46 states, 194 counties, and 711 cities. Washington stands out as a leader with 173,157 EVs, while California trails far behind with only 98. Most other states recorded fewer than 50 sales, underscoring the varied adoption levels across regions.</w:t>
      </w:r>
      <w:r w:rsidR="00185991" w:rsidRPr="00151370">
        <w:rPr>
          <w:rFonts w:ascii="Trebuchet MS" w:hAnsi="Trebuchet MS"/>
        </w:rPr>
        <w:t xml:space="preserve"> This underscores the importance of tailored strategies to boost adoption where it lags while celebrating areas that are leading the charge.</w:t>
      </w:r>
    </w:p>
    <w:p w14:paraId="2D11CC7C" w14:textId="77777777" w:rsidR="00DB25C6" w:rsidRPr="00151370" w:rsidRDefault="00062824" w:rsidP="00F8125E">
      <w:pPr>
        <w:pStyle w:val="NormalWeb"/>
        <w:spacing w:after="0" w:afterAutospacing="0"/>
        <w:jc w:val="both"/>
        <w:rPr>
          <w:rFonts w:ascii="Trebuchet MS" w:hAnsi="Trebuchet MS"/>
        </w:rPr>
      </w:pPr>
      <w:r w:rsidRPr="00151370">
        <w:rPr>
          <w:rStyle w:val="Strong"/>
          <w:rFonts w:ascii="Trebuchet MS" w:hAnsi="Trebuchet MS"/>
        </w:rPr>
        <w:t>EV Types</w:t>
      </w:r>
    </w:p>
    <w:p w14:paraId="62DF0A70" w14:textId="0A7A4E5B" w:rsidR="00062824" w:rsidRPr="00151370" w:rsidRDefault="00062824" w:rsidP="00F8125E">
      <w:pPr>
        <w:pStyle w:val="NormalWeb"/>
        <w:spacing w:before="0" w:beforeAutospacing="0"/>
        <w:jc w:val="both"/>
        <w:rPr>
          <w:rFonts w:ascii="Trebuchet MS" w:hAnsi="Trebuchet MS"/>
        </w:rPr>
      </w:pPr>
      <w:r w:rsidRPr="00151370">
        <w:rPr>
          <w:rFonts w:ascii="Trebuchet MS" w:hAnsi="Trebuchet MS"/>
        </w:rPr>
        <w:t xml:space="preserve">The EV market in the USA comprises two main types: </w:t>
      </w:r>
      <w:r w:rsidR="00CF602D" w:rsidRPr="00151370">
        <w:rPr>
          <w:rFonts w:ascii="Trebuchet MS" w:hAnsi="Trebuchet MS"/>
        </w:rPr>
        <w:t xml:space="preserve">The </w:t>
      </w:r>
      <w:r w:rsidR="00185991" w:rsidRPr="00151370">
        <w:rPr>
          <w:rFonts w:ascii="Trebuchet MS" w:hAnsi="Trebuchet MS"/>
        </w:rPr>
        <w:t>cutting-edge</w:t>
      </w:r>
      <w:r w:rsidRPr="00151370">
        <w:rPr>
          <w:rFonts w:ascii="Trebuchet MS" w:hAnsi="Trebuchet MS"/>
        </w:rPr>
        <w:t xml:space="preserve"> </w:t>
      </w:r>
      <w:r w:rsidR="00CF602D" w:rsidRPr="00151370">
        <w:rPr>
          <w:rFonts w:ascii="Trebuchet MS" w:hAnsi="Trebuchet MS"/>
        </w:rPr>
        <w:t>Battery Electric Vehicles (BEVs)</w:t>
      </w:r>
      <w:r w:rsidRPr="00151370">
        <w:rPr>
          <w:rFonts w:ascii="Trebuchet MS" w:hAnsi="Trebuchet MS"/>
        </w:rPr>
        <w:t xml:space="preserve"> dominate with 135,617 vehicles (78%), </w:t>
      </w:r>
      <w:r w:rsidR="00CF602D" w:rsidRPr="00151370">
        <w:rPr>
          <w:rFonts w:ascii="Trebuchet MS" w:hAnsi="Trebuchet MS"/>
        </w:rPr>
        <w:t>and Plug-in Hybrid Electric Vehicles (PHEVs)</w:t>
      </w:r>
      <w:r w:rsidRPr="00151370">
        <w:rPr>
          <w:rFonts w:ascii="Trebuchet MS" w:hAnsi="Trebuchet MS"/>
        </w:rPr>
        <w:t xml:space="preserve"> contribute 37,916 vehicles (22%).</w:t>
      </w:r>
      <w:r w:rsidR="00BB097C" w:rsidRPr="00151370">
        <w:rPr>
          <w:rFonts w:ascii="Trebuchet MS" w:hAnsi="Trebuchet MS"/>
        </w:rPr>
        <w:t xml:space="preserve"> The overwhelming preference for BEVs highlights consumer confidence in fully electric technology, while the PHEVs’ presence reflects the transitional mindset of some buyers.</w:t>
      </w:r>
    </w:p>
    <w:p w14:paraId="10951880" w14:textId="77777777" w:rsidR="00DB25C6" w:rsidRPr="00151370" w:rsidRDefault="00062824" w:rsidP="00F8125E">
      <w:pPr>
        <w:pStyle w:val="NormalWeb"/>
        <w:spacing w:after="0" w:afterAutospacing="0"/>
        <w:jc w:val="both"/>
        <w:rPr>
          <w:rFonts w:ascii="Trebuchet MS" w:hAnsi="Trebuchet MS"/>
        </w:rPr>
      </w:pPr>
      <w:r w:rsidRPr="00151370">
        <w:rPr>
          <w:rStyle w:val="Strong"/>
          <w:rFonts w:ascii="Trebuchet MS" w:hAnsi="Trebuchet MS"/>
        </w:rPr>
        <w:t>EV Vehicles by Make &amp; Model</w:t>
      </w:r>
    </w:p>
    <w:p w14:paraId="21A05816" w14:textId="170E9196" w:rsidR="00062824" w:rsidRPr="00151370" w:rsidRDefault="00062824" w:rsidP="00F8125E">
      <w:pPr>
        <w:pStyle w:val="NormalWeb"/>
        <w:spacing w:before="0" w:beforeAutospacing="0" w:after="0" w:afterAutospacing="0"/>
        <w:jc w:val="both"/>
        <w:rPr>
          <w:rFonts w:ascii="Trebuchet MS" w:hAnsi="Trebuchet MS"/>
        </w:rPr>
      </w:pPr>
      <w:r w:rsidRPr="00151370">
        <w:rPr>
          <w:rFonts w:ascii="Trebuchet MS" w:hAnsi="Trebuchet MS"/>
        </w:rPr>
        <w:t>Consumer choices include 40 makes and 139 models, showcasing the diversity of the EV market.</w:t>
      </w:r>
      <w:r w:rsidR="00AC45A2" w:rsidRPr="00151370">
        <w:rPr>
          <w:rFonts w:ascii="Trebuchet MS" w:hAnsi="Trebuchet MS"/>
        </w:rPr>
        <w:t xml:space="preserve"> (Tracing the evolution of the EVs model over time, they range between the year 1997 &amp; 2024).</w:t>
      </w:r>
      <w:r w:rsidRPr="00151370">
        <w:rPr>
          <w:rFonts w:ascii="Trebuchet MS" w:hAnsi="Trebuchet MS"/>
        </w:rPr>
        <w:t xml:space="preserve"> Tesla leads with 77,805 sales, followed by Nissan and Chevrolet with 14,005 and 13,486 sales, respectively. BMW, Audi, and Mercedes-Benz stand out with the largest </w:t>
      </w:r>
      <w:r w:rsidR="00BB097C" w:rsidRPr="00151370">
        <w:rPr>
          <w:rFonts w:ascii="Trebuchet MS" w:hAnsi="Trebuchet MS"/>
        </w:rPr>
        <w:t>extensive</w:t>
      </w:r>
      <w:r w:rsidRPr="00151370">
        <w:rPr>
          <w:rFonts w:ascii="Trebuchet MS" w:hAnsi="Trebuchet MS"/>
        </w:rPr>
        <w:t xml:space="preserve"> unique models, offering 14, 12, and 10 models each</w:t>
      </w:r>
      <w:r w:rsidR="00AC45A2" w:rsidRPr="00151370">
        <w:rPr>
          <w:rFonts w:ascii="Trebuchet MS" w:hAnsi="Trebuchet MS"/>
        </w:rPr>
        <w:t>; while others have less than 10 models.</w:t>
      </w:r>
    </w:p>
    <w:p w14:paraId="2916430D" w14:textId="77777777" w:rsidR="00DB25C6" w:rsidRPr="00151370" w:rsidRDefault="00062824" w:rsidP="00F8125E">
      <w:pPr>
        <w:pStyle w:val="NormalWeb"/>
        <w:spacing w:after="0" w:afterAutospacing="0"/>
        <w:jc w:val="both"/>
        <w:rPr>
          <w:rFonts w:ascii="Trebuchet MS" w:hAnsi="Trebuchet MS"/>
        </w:rPr>
      </w:pPr>
      <w:r w:rsidRPr="00151370">
        <w:rPr>
          <w:rStyle w:val="Strong"/>
          <w:rFonts w:ascii="Trebuchet MS" w:hAnsi="Trebuchet MS"/>
        </w:rPr>
        <w:t>Clean Alternative Fuel Vehicle (CAFV) Eligibility</w:t>
      </w:r>
    </w:p>
    <w:p w14:paraId="1D33FA18" w14:textId="3D552997" w:rsidR="006216CB" w:rsidRPr="00151370" w:rsidRDefault="00BB097C" w:rsidP="00F8125E">
      <w:pPr>
        <w:pStyle w:val="NormalWeb"/>
        <w:spacing w:before="0" w:beforeAutospacing="0"/>
        <w:jc w:val="both"/>
        <w:rPr>
          <w:rStyle w:val="Strong"/>
          <w:rFonts w:ascii="Trebuchet MS" w:hAnsi="Trebuchet MS"/>
          <w:b w:val="0"/>
          <w:bCs w:val="0"/>
        </w:rPr>
      </w:pPr>
      <w:r w:rsidRPr="00151370">
        <w:rPr>
          <w:rFonts w:ascii="Trebuchet MS" w:hAnsi="Trebuchet MS"/>
        </w:rPr>
        <w:lastRenderedPageBreak/>
        <w:t>CAFV eligibility is a key driver for EV adoption, with 65,846 vehicles meeting criteria thanks to ranges between 30 and 337 miles.</w:t>
      </w:r>
      <w:r w:rsidR="00062824" w:rsidRPr="00151370">
        <w:rPr>
          <w:rFonts w:ascii="Trebuchet MS" w:hAnsi="Trebuchet MS"/>
        </w:rPr>
        <w:t xml:space="preserve"> However, 19,385 vehicles fall short due to limited ranges below 30 miles, and 88,302 vehicles remain ineligible due to insufficient battery range data.</w:t>
      </w:r>
      <w:r w:rsidRPr="00151370">
        <w:rPr>
          <w:rFonts w:ascii="Trebuchet MS" w:hAnsi="Trebuchet MS"/>
        </w:rPr>
        <w:t xml:space="preserve"> This competitive diversity fuels progress, ensuring options for every type of driver.</w:t>
      </w:r>
    </w:p>
    <w:p w14:paraId="7EEE5906" w14:textId="062038E9" w:rsidR="00DB25C6" w:rsidRPr="00151370" w:rsidRDefault="00062824" w:rsidP="00F8125E">
      <w:pPr>
        <w:spacing w:after="0"/>
        <w:jc w:val="both"/>
        <w:rPr>
          <w:rFonts w:ascii="Trebuchet MS" w:eastAsia="Times New Roman" w:hAnsi="Trebuchet MS" w:cs="Times New Roman"/>
          <w:b/>
          <w:bCs/>
          <w:sz w:val="24"/>
          <w:szCs w:val="24"/>
        </w:rPr>
      </w:pPr>
      <w:r w:rsidRPr="00151370">
        <w:rPr>
          <w:rStyle w:val="Strong"/>
          <w:rFonts w:ascii="Trebuchet MS" w:hAnsi="Trebuchet MS" w:cs="Times New Roman"/>
          <w:sz w:val="24"/>
          <w:szCs w:val="24"/>
        </w:rPr>
        <w:t>Battery Range Insights</w:t>
      </w:r>
    </w:p>
    <w:p w14:paraId="0EF20CB2" w14:textId="77777777" w:rsidR="00151370" w:rsidRDefault="00062824" w:rsidP="00151370">
      <w:pPr>
        <w:pStyle w:val="NormalWeb"/>
        <w:spacing w:before="0" w:beforeAutospacing="0" w:after="0" w:afterAutospacing="0"/>
        <w:jc w:val="both"/>
        <w:rPr>
          <w:rFonts w:ascii="Trebuchet MS" w:hAnsi="Trebuchet MS"/>
        </w:rPr>
      </w:pPr>
      <w:r w:rsidRPr="00151370">
        <w:rPr>
          <w:rFonts w:ascii="Trebuchet MS" w:hAnsi="Trebuchet MS"/>
        </w:rPr>
        <w:t>Battery ranges vary significantly, from 0 to 337 miles. The average range of 60 miles highlights the need for technological advancements to improve practicality and boost consumer confidence.</w:t>
      </w:r>
      <w:r w:rsidR="001E2E3D" w:rsidRPr="00151370">
        <w:rPr>
          <w:rFonts w:ascii="Trebuchet MS" w:hAnsi="Trebuchet MS"/>
        </w:rPr>
        <w:t xml:space="preserve"> Stakeholders must seize this as a call to action: pushing for extended ranges can unlock the next wave of adoption, ensuring EVs are not only sustainable but also practical for everyday use.</w:t>
      </w:r>
    </w:p>
    <w:p w14:paraId="0338DD35" w14:textId="252170D3" w:rsidR="00116A0A" w:rsidRPr="00151370" w:rsidRDefault="00116A0A" w:rsidP="00151370">
      <w:pPr>
        <w:pStyle w:val="NormalWeb"/>
        <w:spacing w:before="0" w:beforeAutospacing="0" w:after="0" w:afterAutospacing="0"/>
        <w:jc w:val="both"/>
        <w:rPr>
          <w:rFonts w:ascii="Trebuchet MS" w:hAnsi="Trebuchet MS"/>
        </w:rPr>
      </w:pPr>
      <w:r w:rsidRPr="00116A0A">
        <w:rPr>
          <w:rFonts w:ascii="Trebuchet MS" w:hAnsi="Trebuchet MS"/>
        </w:rPr>
        <w:t xml:space="preserve">Analysis of the average battery range across EV </w:t>
      </w:r>
      <w:r w:rsidRPr="00151370">
        <w:rPr>
          <w:rFonts w:ascii="Trebuchet MS" w:hAnsi="Trebuchet MS"/>
        </w:rPr>
        <w:t>makes</w:t>
      </w:r>
      <w:r w:rsidRPr="00116A0A">
        <w:rPr>
          <w:rFonts w:ascii="Trebuchet MS" w:hAnsi="Trebuchet MS"/>
        </w:rPr>
        <w:t xml:space="preserve"> reveals significant variations. Jaguar leads with the highest average range, surpassing 200 miles, while other brands, Chevrolet, Nissan, and Tesla maintain moderate battery performance, but improvements are still needed to enhance overall efficiency.</w:t>
      </w:r>
    </w:p>
    <w:p w14:paraId="1A130DEF" w14:textId="2915CF2B" w:rsidR="00981174" w:rsidRPr="00151370" w:rsidRDefault="00981174" w:rsidP="00F8125E">
      <w:pPr>
        <w:spacing w:before="100" w:beforeAutospacing="1" w:after="100" w:afterAutospacing="1" w:line="240" w:lineRule="auto"/>
        <w:jc w:val="both"/>
        <w:rPr>
          <w:rFonts w:ascii="Trebuchet MS" w:eastAsia="Times New Roman" w:hAnsi="Trebuchet MS" w:cs="Times New Roman"/>
          <w:b/>
          <w:bCs/>
          <w:sz w:val="24"/>
          <w:szCs w:val="24"/>
        </w:rPr>
      </w:pPr>
      <w:r w:rsidRPr="00151370">
        <w:rPr>
          <w:rFonts w:ascii="Trebuchet MS" w:eastAsia="Times New Roman" w:hAnsi="Trebuchet MS" w:cs="Times New Roman"/>
          <w:b/>
          <w:bCs/>
          <w:sz w:val="24"/>
          <w:szCs w:val="24"/>
        </w:rPr>
        <w:t>Recommendation</w:t>
      </w:r>
    </w:p>
    <w:p w14:paraId="1B1A00A2" w14:textId="77777777" w:rsidR="00CB22D1" w:rsidRPr="00151370" w:rsidRDefault="00CB22D1" w:rsidP="00F8125E">
      <w:pPr>
        <w:pStyle w:val="ListParagraph"/>
        <w:numPr>
          <w:ilvl w:val="0"/>
          <w:numId w:val="3"/>
        </w:numPr>
        <w:spacing w:before="100" w:beforeAutospacing="1" w:after="100" w:afterAutospacing="1" w:line="240" w:lineRule="auto"/>
        <w:ind w:left="270" w:hanging="270"/>
        <w:jc w:val="both"/>
        <w:rPr>
          <w:rFonts w:ascii="Trebuchet MS" w:eastAsia="Times New Roman" w:hAnsi="Trebuchet MS" w:cs="Times New Roman"/>
          <w:sz w:val="24"/>
          <w:szCs w:val="24"/>
        </w:rPr>
      </w:pPr>
      <w:r w:rsidRPr="00151370">
        <w:rPr>
          <w:rFonts w:ascii="Trebuchet MS" w:eastAsia="Times New Roman" w:hAnsi="Trebuchet MS" w:cs="Times New Roman"/>
          <w:b/>
          <w:bCs/>
          <w:sz w:val="24"/>
          <w:szCs w:val="24"/>
        </w:rPr>
        <w:t>What drives EV adoption across regions?</w:t>
      </w:r>
      <w:r w:rsidRPr="00151370">
        <w:rPr>
          <w:rFonts w:ascii="Trebuchet MS" w:eastAsia="Times New Roman" w:hAnsi="Trebuchet MS" w:cs="Times New Roman"/>
          <w:sz w:val="24"/>
          <w:szCs w:val="24"/>
        </w:rPr>
        <w:t xml:space="preserve"> Policies, infrastructure, and incentives play a major role—Washington is proof of this.</w:t>
      </w:r>
    </w:p>
    <w:p w14:paraId="4F970411" w14:textId="77777777" w:rsidR="00CB22D1" w:rsidRPr="00151370" w:rsidRDefault="00CB22D1" w:rsidP="00F8125E">
      <w:pPr>
        <w:pStyle w:val="ListParagraph"/>
        <w:numPr>
          <w:ilvl w:val="0"/>
          <w:numId w:val="3"/>
        </w:numPr>
        <w:spacing w:before="100" w:beforeAutospacing="1" w:after="100" w:afterAutospacing="1" w:line="240" w:lineRule="auto"/>
        <w:ind w:left="270" w:hanging="270"/>
        <w:jc w:val="both"/>
        <w:rPr>
          <w:rFonts w:ascii="Trebuchet MS" w:eastAsia="Times New Roman" w:hAnsi="Trebuchet MS" w:cs="Times New Roman"/>
          <w:sz w:val="24"/>
          <w:szCs w:val="24"/>
        </w:rPr>
      </w:pPr>
      <w:r w:rsidRPr="00151370">
        <w:rPr>
          <w:rFonts w:ascii="Trebuchet MS" w:eastAsia="Times New Roman" w:hAnsi="Trebuchet MS" w:cs="Times New Roman"/>
          <w:b/>
          <w:bCs/>
          <w:sz w:val="24"/>
          <w:szCs w:val="24"/>
        </w:rPr>
        <w:t>How can stakeholders leverage this data?</w:t>
      </w:r>
      <w:r w:rsidRPr="00151370">
        <w:rPr>
          <w:rFonts w:ascii="Trebuchet MS" w:eastAsia="Times New Roman" w:hAnsi="Trebuchet MS" w:cs="Times New Roman"/>
          <w:sz w:val="24"/>
          <w:szCs w:val="24"/>
        </w:rPr>
        <w:t xml:space="preserve"> Focus on expanding EV-friendly policies and infrastructure in underperforming regions.</w:t>
      </w:r>
    </w:p>
    <w:p w14:paraId="6F83E95F" w14:textId="77777777" w:rsidR="00CB22D1" w:rsidRPr="00151370" w:rsidRDefault="00CB22D1" w:rsidP="00F8125E">
      <w:pPr>
        <w:pStyle w:val="ListParagraph"/>
        <w:numPr>
          <w:ilvl w:val="0"/>
          <w:numId w:val="3"/>
        </w:numPr>
        <w:spacing w:before="100" w:beforeAutospacing="1" w:after="100" w:afterAutospacing="1" w:line="240" w:lineRule="auto"/>
        <w:ind w:left="270" w:hanging="270"/>
        <w:jc w:val="both"/>
        <w:rPr>
          <w:rFonts w:ascii="Trebuchet MS" w:eastAsia="Times New Roman" w:hAnsi="Trebuchet MS" w:cs="Times New Roman"/>
          <w:sz w:val="24"/>
          <w:szCs w:val="24"/>
        </w:rPr>
      </w:pPr>
      <w:r w:rsidRPr="00151370">
        <w:rPr>
          <w:rFonts w:ascii="Trebuchet MS" w:eastAsia="Times New Roman" w:hAnsi="Trebuchet MS" w:cs="Times New Roman"/>
          <w:b/>
          <w:bCs/>
          <w:sz w:val="24"/>
          <w:szCs w:val="24"/>
        </w:rPr>
        <w:t>How do vehicle types and battery ranges influence growth?</w:t>
      </w:r>
      <w:r w:rsidRPr="00151370">
        <w:rPr>
          <w:rFonts w:ascii="Trebuchet MS" w:eastAsia="Times New Roman" w:hAnsi="Trebuchet MS" w:cs="Times New Roman"/>
          <w:sz w:val="24"/>
          <w:szCs w:val="24"/>
        </w:rPr>
        <w:t xml:space="preserve"> The dominance of BEVs signals consumer trust, while battery range remains a limitation that must be addressed.</w:t>
      </w:r>
    </w:p>
    <w:p w14:paraId="44B96FC6" w14:textId="329CE29D" w:rsidR="00CB22D1" w:rsidRPr="00151370" w:rsidRDefault="00CB22D1" w:rsidP="00F8125E">
      <w:pPr>
        <w:pStyle w:val="ListParagraph"/>
        <w:numPr>
          <w:ilvl w:val="0"/>
          <w:numId w:val="3"/>
        </w:numPr>
        <w:spacing w:before="100" w:beforeAutospacing="1" w:after="100" w:afterAutospacing="1" w:line="240" w:lineRule="auto"/>
        <w:ind w:left="270" w:hanging="270"/>
        <w:jc w:val="both"/>
        <w:rPr>
          <w:rFonts w:ascii="Trebuchet MS" w:eastAsia="Times New Roman" w:hAnsi="Trebuchet MS" w:cs="Times New Roman"/>
          <w:sz w:val="24"/>
          <w:szCs w:val="24"/>
        </w:rPr>
      </w:pPr>
      <w:r w:rsidRPr="00151370">
        <w:rPr>
          <w:rFonts w:ascii="Trebuchet MS" w:eastAsia="Times New Roman" w:hAnsi="Trebuchet MS" w:cs="Times New Roman"/>
          <w:b/>
          <w:bCs/>
          <w:sz w:val="24"/>
          <w:szCs w:val="24"/>
        </w:rPr>
        <w:t>What factors are critical for CAFV eligibility?</w:t>
      </w:r>
      <w:r w:rsidRPr="00151370">
        <w:rPr>
          <w:rFonts w:ascii="Trebuchet MS" w:eastAsia="Times New Roman" w:hAnsi="Trebuchet MS" w:cs="Times New Roman"/>
          <w:sz w:val="24"/>
          <w:szCs w:val="24"/>
        </w:rPr>
        <w:t xml:space="preserve"> Range, efficiency, and eligibility criteria need attention to increase incentive-qualified vehicles.</w:t>
      </w:r>
    </w:p>
    <w:p w14:paraId="5C5FC234" w14:textId="0713CE5E" w:rsidR="00981174" w:rsidRPr="00151370" w:rsidRDefault="00981174" w:rsidP="00F8125E">
      <w:pPr>
        <w:spacing w:before="100" w:beforeAutospacing="1" w:after="100" w:afterAutospacing="1" w:line="240" w:lineRule="auto"/>
        <w:jc w:val="both"/>
        <w:rPr>
          <w:rFonts w:ascii="Trebuchet MS" w:eastAsia="Times New Roman" w:hAnsi="Trebuchet MS" w:cs="Times New Roman"/>
          <w:sz w:val="24"/>
          <w:szCs w:val="24"/>
        </w:rPr>
      </w:pPr>
      <w:r w:rsidRPr="00151370">
        <w:rPr>
          <w:rFonts w:ascii="Trebuchet MS" w:eastAsia="Times New Roman" w:hAnsi="Trebuchet MS" w:cs="Times New Roman"/>
          <w:sz w:val="24"/>
          <w:szCs w:val="24"/>
        </w:rPr>
        <w:t>Th</w:t>
      </w:r>
      <w:r w:rsidR="00F8125E" w:rsidRPr="00151370">
        <w:rPr>
          <w:rFonts w:ascii="Trebuchet MS" w:eastAsia="Times New Roman" w:hAnsi="Trebuchet MS" w:cs="Times New Roman"/>
          <w:sz w:val="24"/>
          <w:szCs w:val="24"/>
        </w:rPr>
        <w:t>e</w:t>
      </w:r>
      <w:r w:rsidRPr="00151370">
        <w:rPr>
          <w:rFonts w:ascii="Trebuchet MS" w:eastAsia="Times New Roman" w:hAnsi="Trebuchet MS" w:cs="Times New Roman"/>
          <w:sz w:val="24"/>
          <w:szCs w:val="24"/>
        </w:rPr>
        <w:t xml:space="preserve"> </w:t>
      </w:r>
      <w:r w:rsidRPr="00981174">
        <w:rPr>
          <w:rFonts w:ascii="Trebuchet MS" w:eastAsia="Times New Roman" w:hAnsi="Trebuchet MS" w:cs="Times New Roman"/>
          <w:sz w:val="24"/>
          <w:szCs w:val="24"/>
        </w:rPr>
        <w:t xml:space="preserve">analysis suggests focusing efforts where they’re needed most. </w:t>
      </w:r>
    </w:p>
    <w:p w14:paraId="5C907290" w14:textId="08E5A272" w:rsidR="00167137" w:rsidRPr="00151370" w:rsidRDefault="00CB22D1" w:rsidP="00F8125E">
      <w:pPr>
        <w:pStyle w:val="ListParagraph"/>
        <w:numPr>
          <w:ilvl w:val="0"/>
          <w:numId w:val="2"/>
        </w:numPr>
        <w:spacing w:before="100" w:beforeAutospacing="1" w:after="100" w:afterAutospacing="1" w:line="240" w:lineRule="auto"/>
        <w:jc w:val="both"/>
        <w:rPr>
          <w:rFonts w:ascii="Trebuchet MS" w:eastAsia="Times New Roman" w:hAnsi="Trebuchet MS" w:cs="Times New Roman"/>
          <w:sz w:val="24"/>
          <w:szCs w:val="24"/>
        </w:rPr>
      </w:pPr>
      <w:r w:rsidRPr="00151370">
        <w:rPr>
          <w:rFonts w:ascii="Trebuchet MS" w:eastAsia="Times New Roman" w:hAnsi="Trebuchet MS" w:cs="Times New Roman"/>
          <w:sz w:val="24"/>
          <w:szCs w:val="24"/>
        </w:rPr>
        <w:t>Address Regional Gaps: With Washington dominating with over 173K EVs and California trailing far behind, there’s a clear need to target regions with low EV adoption by understanding local challenges like limited charging infrastructure, and design customized incentive programs and public awareness campaigns.</w:t>
      </w:r>
    </w:p>
    <w:p w14:paraId="6C95B71E" w14:textId="77777777" w:rsidR="00167137" w:rsidRPr="00151370" w:rsidRDefault="00167137" w:rsidP="00F8125E">
      <w:pPr>
        <w:pStyle w:val="ListParagraph"/>
        <w:spacing w:before="100" w:beforeAutospacing="1" w:after="100" w:afterAutospacing="1" w:line="240" w:lineRule="auto"/>
        <w:jc w:val="both"/>
        <w:rPr>
          <w:rFonts w:ascii="Trebuchet MS" w:eastAsia="Times New Roman" w:hAnsi="Trebuchet MS" w:cs="Times New Roman"/>
          <w:sz w:val="24"/>
          <w:szCs w:val="24"/>
        </w:rPr>
      </w:pPr>
    </w:p>
    <w:p w14:paraId="306AF114" w14:textId="0B83DBB5" w:rsidR="00167137" w:rsidRPr="00151370" w:rsidRDefault="000008AB" w:rsidP="00F8125E">
      <w:pPr>
        <w:pStyle w:val="ListParagraph"/>
        <w:numPr>
          <w:ilvl w:val="0"/>
          <w:numId w:val="2"/>
        </w:numPr>
        <w:spacing w:before="100" w:beforeAutospacing="1" w:after="100" w:afterAutospacing="1" w:line="240" w:lineRule="auto"/>
        <w:jc w:val="both"/>
        <w:rPr>
          <w:rFonts w:ascii="Trebuchet MS" w:eastAsia="Times New Roman" w:hAnsi="Trebuchet MS" w:cs="Times New Roman"/>
          <w:sz w:val="24"/>
          <w:szCs w:val="24"/>
        </w:rPr>
      </w:pPr>
      <w:r w:rsidRPr="00151370">
        <w:rPr>
          <w:rFonts w:ascii="Trebuchet MS" w:eastAsia="Times New Roman" w:hAnsi="Trebuchet MS" w:cs="Times New Roman"/>
          <w:sz w:val="24"/>
          <w:szCs w:val="24"/>
        </w:rPr>
        <w:t>Promotion of Battery Electric Vehicles (BEVs) s</w:t>
      </w:r>
      <w:r w:rsidR="00C2304B" w:rsidRPr="00151370">
        <w:rPr>
          <w:rFonts w:ascii="Trebuchet MS" w:eastAsia="Times New Roman" w:hAnsi="Trebuchet MS" w:cs="Times New Roman"/>
          <w:sz w:val="24"/>
          <w:szCs w:val="24"/>
        </w:rPr>
        <w:t xml:space="preserve">ince </w:t>
      </w:r>
      <w:r w:rsidRPr="00151370">
        <w:rPr>
          <w:rFonts w:ascii="Trebuchet MS" w:eastAsia="Times New Roman" w:hAnsi="Trebuchet MS" w:cs="Times New Roman"/>
          <w:sz w:val="24"/>
          <w:szCs w:val="24"/>
        </w:rPr>
        <w:t>it</w:t>
      </w:r>
      <w:r w:rsidR="00981174" w:rsidRPr="00151370">
        <w:rPr>
          <w:rFonts w:ascii="Trebuchet MS" w:eastAsia="Times New Roman" w:hAnsi="Trebuchet MS" w:cs="Times New Roman"/>
          <w:sz w:val="24"/>
          <w:szCs w:val="24"/>
        </w:rPr>
        <w:t xml:space="preserve"> clearly outshine</w:t>
      </w:r>
      <w:r w:rsidRPr="00151370">
        <w:rPr>
          <w:rFonts w:ascii="Trebuchet MS" w:eastAsia="Times New Roman" w:hAnsi="Trebuchet MS" w:cs="Times New Roman"/>
          <w:sz w:val="24"/>
          <w:szCs w:val="24"/>
        </w:rPr>
        <w:t>s</w:t>
      </w:r>
      <w:r w:rsidR="00981174" w:rsidRPr="00151370">
        <w:rPr>
          <w:rFonts w:ascii="Trebuchet MS" w:eastAsia="Times New Roman" w:hAnsi="Trebuchet MS" w:cs="Times New Roman"/>
          <w:sz w:val="24"/>
          <w:szCs w:val="24"/>
        </w:rPr>
        <w:t xml:space="preserve"> hybrids </w:t>
      </w:r>
      <w:r w:rsidR="00167137" w:rsidRPr="00151370">
        <w:rPr>
          <w:rFonts w:ascii="Trebuchet MS" w:eastAsia="Times New Roman" w:hAnsi="Trebuchet MS" w:cs="Times New Roman"/>
          <w:sz w:val="24"/>
          <w:szCs w:val="24"/>
        </w:rPr>
        <w:t xml:space="preserve">by 78% </w:t>
      </w:r>
      <w:r w:rsidR="00981174" w:rsidRPr="00151370">
        <w:rPr>
          <w:rFonts w:ascii="Trebuchet MS" w:eastAsia="Times New Roman" w:hAnsi="Trebuchet MS" w:cs="Times New Roman"/>
          <w:sz w:val="24"/>
          <w:szCs w:val="24"/>
        </w:rPr>
        <w:t xml:space="preserve">in popularity, </w:t>
      </w:r>
      <w:r w:rsidR="00167137" w:rsidRPr="00151370">
        <w:rPr>
          <w:rFonts w:ascii="Trebuchet MS" w:eastAsia="Times New Roman" w:hAnsi="Trebuchet MS" w:cs="Times New Roman"/>
          <w:sz w:val="24"/>
          <w:szCs w:val="24"/>
        </w:rPr>
        <w:t xml:space="preserve">policies should </w:t>
      </w:r>
      <w:proofErr w:type="spellStart"/>
      <w:r w:rsidR="00167137" w:rsidRPr="00151370">
        <w:rPr>
          <w:rFonts w:ascii="Trebuchet MS" w:eastAsia="Times New Roman" w:hAnsi="Trebuchet MS" w:cs="Times New Roman"/>
          <w:sz w:val="24"/>
          <w:szCs w:val="24"/>
        </w:rPr>
        <w:t>favour</w:t>
      </w:r>
      <w:proofErr w:type="spellEnd"/>
      <w:r w:rsidR="00167137" w:rsidRPr="00151370">
        <w:rPr>
          <w:rFonts w:ascii="Trebuchet MS" w:eastAsia="Times New Roman" w:hAnsi="Trebuchet MS" w:cs="Times New Roman"/>
          <w:sz w:val="24"/>
          <w:szCs w:val="24"/>
        </w:rPr>
        <w:t xml:space="preserve"> BEVs</w:t>
      </w:r>
      <w:r w:rsidR="00981174" w:rsidRPr="00151370">
        <w:rPr>
          <w:rFonts w:ascii="Trebuchet MS" w:eastAsia="Times New Roman" w:hAnsi="Trebuchet MS" w:cs="Times New Roman"/>
          <w:sz w:val="24"/>
          <w:szCs w:val="24"/>
        </w:rPr>
        <w:t xml:space="preserve"> through incentives</w:t>
      </w:r>
      <w:r w:rsidRPr="00151370">
        <w:rPr>
          <w:rFonts w:ascii="Trebuchet MS" w:eastAsia="Times New Roman" w:hAnsi="Trebuchet MS" w:cs="Times New Roman"/>
          <w:sz w:val="24"/>
          <w:szCs w:val="24"/>
        </w:rPr>
        <w:t xml:space="preserve">, subsidies </w:t>
      </w:r>
      <w:r w:rsidR="00167137" w:rsidRPr="00151370">
        <w:rPr>
          <w:rFonts w:ascii="Trebuchet MS" w:eastAsia="Times New Roman" w:hAnsi="Trebuchet MS" w:cs="Times New Roman"/>
          <w:sz w:val="24"/>
          <w:szCs w:val="24"/>
        </w:rPr>
        <w:t>and better charging solutions to support consumer confidence.</w:t>
      </w:r>
    </w:p>
    <w:p w14:paraId="7B1FDA36" w14:textId="5992837F" w:rsidR="00C3272A" w:rsidRPr="00151370" w:rsidRDefault="00F8125E" w:rsidP="00F8125E">
      <w:pPr>
        <w:pStyle w:val="ListParagraph"/>
        <w:numPr>
          <w:ilvl w:val="0"/>
          <w:numId w:val="2"/>
        </w:numPr>
        <w:jc w:val="both"/>
        <w:rPr>
          <w:rFonts w:ascii="Trebuchet MS" w:eastAsia="Times New Roman" w:hAnsi="Trebuchet MS" w:cs="Times New Roman"/>
          <w:sz w:val="24"/>
          <w:szCs w:val="24"/>
        </w:rPr>
      </w:pPr>
      <w:r w:rsidRPr="00151370">
        <w:rPr>
          <w:rFonts w:ascii="Trebuchet MS" w:eastAsia="Times New Roman" w:hAnsi="Trebuchet MS" w:cs="Times New Roman"/>
          <w:sz w:val="24"/>
          <w:szCs w:val="24"/>
        </w:rPr>
        <w:t xml:space="preserve">Improving battery performance is crucial, as the 60-mile average range may hinder long-term adoption. Advancing battery technology can enhance driving range, boost consumer confidence, and accelerate EV adoption. Stakeholders should </w:t>
      </w:r>
      <w:proofErr w:type="spellStart"/>
      <w:r w:rsidRPr="00151370">
        <w:rPr>
          <w:rFonts w:ascii="Trebuchet MS" w:eastAsia="Times New Roman" w:hAnsi="Trebuchet MS" w:cs="Times New Roman"/>
          <w:sz w:val="24"/>
          <w:szCs w:val="24"/>
        </w:rPr>
        <w:t>prioritise</w:t>
      </w:r>
      <w:proofErr w:type="spellEnd"/>
      <w:r w:rsidRPr="00151370">
        <w:rPr>
          <w:rFonts w:ascii="Trebuchet MS" w:eastAsia="Times New Roman" w:hAnsi="Trebuchet MS" w:cs="Times New Roman"/>
          <w:sz w:val="24"/>
          <w:szCs w:val="24"/>
        </w:rPr>
        <w:t xml:space="preserve"> research, development, and strategic incentives to bridge this gap and make EVs more appealing to a wider audience</w:t>
      </w:r>
      <w:r w:rsidR="000008AB" w:rsidRPr="00151370">
        <w:rPr>
          <w:rFonts w:ascii="Trebuchet MS" w:eastAsia="Times New Roman" w:hAnsi="Trebuchet MS" w:cs="Times New Roman"/>
          <w:sz w:val="24"/>
          <w:szCs w:val="24"/>
        </w:rPr>
        <w:t>.</w:t>
      </w:r>
    </w:p>
    <w:p w14:paraId="41133D8B" w14:textId="2EA88F97" w:rsidR="00981174" w:rsidRPr="00151370" w:rsidRDefault="00C2304B" w:rsidP="00F8125E">
      <w:pPr>
        <w:pStyle w:val="ListParagraph"/>
        <w:numPr>
          <w:ilvl w:val="0"/>
          <w:numId w:val="2"/>
        </w:numPr>
        <w:spacing w:before="100" w:beforeAutospacing="1" w:after="100" w:afterAutospacing="1" w:line="240" w:lineRule="auto"/>
        <w:jc w:val="both"/>
        <w:rPr>
          <w:rFonts w:ascii="Trebuchet MS" w:eastAsia="Times New Roman" w:hAnsi="Trebuchet MS" w:cs="Times New Roman"/>
          <w:sz w:val="24"/>
          <w:szCs w:val="24"/>
        </w:rPr>
      </w:pPr>
      <w:r w:rsidRPr="00151370">
        <w:rPr>
          <w:rFonts w:ascii="Trebuchet MS" w:eastAsia="Times New Roman" w:hAnsi="Trebuchet MS" w:cs="Times New Roman"/>
          <w:sz w:val="24"/>
          <w:szCs w:val="24"/>
        </w:rPr>
        <w:t>A</w:t>
      </w:r>
      <w:r w:rsidR="00981174" w:rsidRPr="00151370">
        <w:rPr>
          <w:rFonts w:ascii="Trebuchet MS" w:eastAsia="Times New Roman" w:hAnsi="Trebuchet MS" w:cs="Times New Roman"/>
          <w:sz w:val="24"/>
          <w:szCs w:val="24"/>
        </w:rPr>
        <w:t xml:space="preserve">ddressing gaps in Clean Alternative Fuel Vehicle (CAFV) eligibility </w:t>
      </w:r>
      <w:r w:rsidR="009D779E" w:rsidRPr="00151370">
        <w:rPr>
          <w:rFonts w:ascii="Trebuchet MS" w:eastAsia="Times New Roman" w:hAnsi="Trebuchet MS" w:cs="Times New Roman"/>
          <w:sz w:val="24"/>
          <w:szCs w:val="24"/>
        </w:rPr>
        <w:t>initiatives to improve battery performance could boost the overall eligibility of EVs. This may involve updating standards and supporting technological upgrades.</w:t>
      </w:r>
    </w:p>
    <w:sectPr w:rsidR="00981174" w:rsidRPr="00151370" w:rsidSect="003D5262">
      <w:pgSz w:w="12240" w:h="15840"/>
      <w:pgMar w:top="108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909"/>
    <w:multiLevelType w:val="hybridMultilevel"/>
    <w:tmpl w:val="4926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F3DB8"/>
    <w:multiLevelType w:val="multilevel"/>
    <w:tmpl w:val="EBC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3E6681"/>
    <w:multiLevelType w:val="hybridMultilevel"/>
    <w:tmpl w:val="70DC2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3AB5"/>
    <w:rsid w:val="000008AB"/>
    <w:rsid w:val="00027185"/>
    <w:rsid w:val="00062824"/>
    <w:rsid w:val="001142D3"/>
    <w:rsid w:val="00116A0A"/>
    <w:rsid w:val="00151370"/>
    <w:rsid w:val="00167137"/>
    <w:rsid w:val="00185991"/>
    <w:rsid w:val="00185E65"/>
    <w:rsid w:val="001E2E3D"/>
    <w:rsid w:val="001E7A79"/>
    <w:rsid w:val="00244E8F"/>
    <w:rsid w:val="00271286"/>
    <w:rsid w:val="003D5262"/>
    <w:rsid w:val="003F0AE3"/>
    <w:rsid w:val="003F7290"/>
    <w:rsid w:val="004A0CBF"/>
    <w:rsid w:val="004B76A5"/>
    <w:rsid w:val="00505F43"/>
    <w:rsid w:val="006216CB"/>
    <w:rsid w:val="006523A3"/>
    <w:rsid w:val="006B79EC"/>
    <w:rsid w:val="006F7C67"/>
    <w:rsid w:val="007409E3"/>
    <w:rsid w:val="00806E9F"/>
    <w:rsid w:val="008B1A82"/>
    <w:rsid w:val="00981174"/>
    <w:rsid w:val="009D779E"/>
    <w:rsid w:val="00A11CE7"/>
    <w:rsid w:val="00A3676A"/>
    <w:rsid w:val="00A533FC"/>
    <w:rsid w:val="00A7608E"/>
    <w:rsid w:val="00AC45A2"/>
    <w:rsid w:val="00BA6E34"/>
    <w:rsid w:val="00BB097C"/>
    <w:rsid w:val="00C01BF9"/>
    <w:rsid w:val="00C15490"/>
    <w:rsid w:val="00C20142"/>
    <w:rsid w:val="00C2304B"/>
    <w:rsid w:val="00C3272A"/>
    <w:rsid w:val="00CB22D1"/>
    <w:rsid w:val="00CF198B"/>
    <w:rsid w:val="00CF602D"/>
    <w:rsid w:val="00D04FAA"/>
    <w:rsid w:val="00D23AB5"/>
    <w:rsid w:val="00D7021A"/>
    <w:rsid w:val="00DB25C6"/>
    <w:rsid w:val="00DD1A0B"/>
    <w:rsid w:val="00E62D2C"/>
    <w:rsid w:val="00ED123E"/>
    <w:rsid w:val="00ED4EAF"/>
    <w:rsid w:val="00F14665"/>
    <w:rsid w:val="00F23F08"/>
    <w:rsid w:val="00F8125E"/>
    <w:rsid w:val="00FE6C7D"/>
    <w:rsid w:val="00FE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1A44"/>
  <w15:docId w15:val="{76B5F33F-3228-4767-BB63-C8EE6C88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8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824"/>
    <w:rPr>
      <w:b/>
      <w:bCs/>
    </w:rPr>
  </w:style>
  <w:style w:type="character" w:styleId="Emphasis">
    <w:name w:val="Emphasis"/>
    <w:basedOn w:val="DefaultParagraphFont"/>
    <w:uiPriority w:val="20"/>
    <w:qFormat/>
    <w:rsid w:val="00C15490"/>
    <w:rPr>
      <w:i/>
      <w:iCs/>
    </w:rPr>
  </w:style>
  <w:style w:type="paragraph" w:styleId="ListParagraph">
    <w:name w:val="List Paragraph"/>
    <w:basedOn w:val="Normal"/>
    <w:uiPriority w:val="34"/>
    <w:qFormat/>
    <w:rsid w:val="0098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440">
      <w:bodyDiv w:val="1"/>
      <w:marLeft w:val="0"/>
      <w:marRight w:val="0"/>
      <w:marTop w:val="0"/>
      <w:marBottom w:val="0"/>
      <w:divBdr>
        <w:top w:val="none" w:sz="0" w:space="0" w:color="auto"/>
        <w:left w:val="none" w:sz="0" w:space="0" w:color="auto"/>
        <w:bottom w:val="none" w:sz="0" w:space="0" w:color="auto"/>
        <w:right w:val="none" w:sz="0" w:space="0" w:color="auto"/>
      </w:divBdr>
    </w:div>
    <w:div w:id="86196411">
      <w:bodyDiv w:val="1"/>
      <w:marLeft w:val="0"/>
      <w:marRight w:val="0"/>
      <w:marTop w:val="0"/>
      <w:marBottom w:val="0"/>
      <w:divBdr>
        <w:top w:val="none" w:sz="0" w:space="0" w:color="auto"/>
        <w:left w:val="none" w:sz="0" w:space="0" w:color="auto"/>
        <w:bottom w:val="none" w:sz="0" w:space="0" w:color="auto"/>
        <w:right w:val="none" w:sz="0" w:space="0" w:color="auto"/>
      </w:divBdr>
    </w:div>
    <w:div w:id="162625070">
      <w:bodyDiv w:val="1"/>
      <w:marLeft w:val="0"/>
      <w:marRight w:val="0"/>
      <w:marTop w:val="0"/>
      <w:marBottom w:val="0"/>
      <w:divBdr>
        <w:top w:val="none" w:sz="0" w:space="0" w:color="auto"/>
        <w:left w:val="none" w:sz="0" w:space="0" w:color="auto"/>
        <w:bottom w:val="none" w:sz="0" w:space="0" w:color="auto"/>
        <w:right w:val="none" w:sz="0" w:space="0" w:color="auto"/>
      </w:divBdr>
    </w:div>
    <w:div w:id="242032744">
      <w:bodyDiv w:val="1"/>
      <w:marLeft w:val="0"/>
      <w:marRight w:val="0"/>
      <w:marTop w:val="0"/>
      <w:marBottom w:val="0"/>
      <w:divBdr>
        <w:top w:val="none" w:sz="0" w:space="0" w:color="auto"/>
        <w:left w:val="none" w:sz="0" w:space="0" w:color="auto"/>
        <w:bottom w:val="none" w:sz="0" w:space="0" w:color="auto"/>
        <w:right w:val="none" w:sz="0" w:space="0" w:color="auto"/>
      </w:divBdr>
    </w:div>
    <w:div w:id="348530472">
      <w:bodyDiv w:val="1"/>
      <w:marLeft w:val="0"/>
      <w:marRight w:val="0"/>
      <w:marTop w:val="0"/>
      <w:marBottom w:val="0"/>
      <w:divBdr>
        <w:top w:val="none" w:sz="0" w:space="0" w:color="auto"/>
        <w:left w:val="none" w:sz="0" w:space="0" w:color="auto"/>
        <w:bottom w:val="none" w:sz="0" w:space="0" w:color="auto"/>
        <w:right w:val="none" w:sz="0" w:space="0" w:color="auto"/>
      </w:divBdr>
    </w:div>
    <w:div w:id="454179430">
      <w:bodyDiv w:val="1"/>
      <w:marLeft w:val="0"/>
      <w:marRight w:val="0"/>
      <w:marTop w:val="0"/>
      <w:marBottom w:val="0"/>
      <w:divBdr>
        <w:top w:val="none" w:sz="0" w:space="0" w:color="auto"/>
        <w:left w:val="none" w:sz="0" w:space="0" w:color="auto"/>
        <w:bottom w:val="none" w:sz="0" w:space="0" w:color="auto"/>
        <w:right w:val="none" w:sz="0" w:space="0" w:color="auto"/>
      </w:divBdr>
    </w:div>
    <w:div w:id="516889833">
      <w:bodyDiv w:val="1"/>
      <w:marLeft w:val="0"/>
      <w:marRight w:val="0"/>
      <w:marTop w:val="0"/>
      <w:marBottom w:val="0"/>
      <w:divBdr>
        <w:top w:val="none" w:sz="0" w:space="0" w:color="auto"/>
        <w:left w:val="none" w:sz="0" w:space="0" w:color="auto"/>
        <w:bottom w:val="none" w:sz="0" w:space="0" w:color="auto"/>
        <w:right w:val="none" w:sz="0" w:space="0" w:color="auto"/>
      </w:divBdr>
    </w:div>
    <w:div w:id="589195669">
      <w:bodyDiv w:val="1"/>
      <w:marLeft w:val="0"/>
      <w:marRight w:val="0"/>
      <w:marTop w:val="0"/>
      <w:marBottom w:val="0"/>
      <w:divBdr>
        <w:top w:val="none" w:sz="0" w:space="0" w:color="auto"/>
        <w:left w:val="none" w:sz="0" w:space="0" w:color="auto"/>
        <w:bottom w:val="none" w:sz="0" w:space="0" w:color="auto"/>
        <w:right w:val="none" w:sz="0" w:space="0" w:color="auto"/>
      </w:divBdr>
    </w:div>
    <w:div w:id="671184973">
      <w:bodyDiv w:val="1"/>
      <w:marLeft w:val="0"/>
      <w:marRight w:val="0"/>
      <w:marTop w:val="0"/>
      <w:marBottom w:val="0"/>
      <w:divBdr>
        <w:top w:val="none" w:sz="0" w:space="0" w:color="auto"/>
        <w:left w:val="none" w:sz="0" w:space="0" w:color="auto"/>
        <w:bottom w:val="none" w:sz="0" w:space="0" w:color="auto"/>
        <w:right w:val="none" w:sz="0" w:space="0" w:color="auto"/>
      </w:divBdr>
    </w:div>
    <w:div w:id="870266302">
      <w:bodyDiv w:val="1"/>
      <w:marLeft w:val="0"/>
      <w:marRight w:val="0"/>
      <w:marTop w:val="0"/>
      <w:marBottom w:val="0"/>
      <w:divBdr>
        <w:top w:val="none" w:sz="0" w:space="0" w:color="auto"/>
        <w:left w:val="none" w:sz="0" w:space="0" w:color="auto"/>
        <w:bottom w:val="none" w:sz="0" w:space="0" w:color="auto"/>
        <w:right w:val="none" w:sz="0" w:space="0" w:color="auto"/>
      </w:divBdr>
    </w:div>
    <w:div w:id="1118140029">
      <w:bodyDiv w:val="1"/>
      <w:marLeft w:val="0"/>
      <w:marRight w:val="0"/>
      <w:marTop w:val="0"/>
      <w:marBottom w:val="0"/>
      <w:divBdr>
        <w:top w:val="none" w:sz="0" w:space="0" w:color="auto"/>
        <w:left w:val="none" w:sz="0" w:space="0" w:color="auto"/>
        <w:bottom w:val="none" w:sz="0" w:space="0" w:color="auto"/>
        <w:right w:val="none" w:sz="0" w:space="0" w:color="auto"/>
      </w:divBdr>
    </w:div>
    <w:div w:id="1433166913">
      <w:bodyDiv w:val="1"/>
      <w:marLeft w:val="0"/>
      <w:marRight w:val="0"/>
      <w:marTop w:val="0"/>
      <w:marBottom w:val="0"/>
      <w:divBdr>
        <w:top w:val="none" w:sz="0" w:space="0" w:color="auto"/>
        <w:left w:val="none" w:sz="0" w:space="0" w:color="auto"/>
        <w:bottom w:val="none" w:sz="0" w:space="0" w:color="auto"/>
        <w:right w:val="none" w:sz="0" w:space="0" w:color="auto"/>
      </w:divBdr>
    </w:div>
    <w:div w:id="1577396295">
      <w:bodyDiv w:val="1"/>
      <w:marLeft w:val="0"/>
      <w:marRight w:val="0"/>
      <w:marTop w:val="0"/>
      <w:marBottom w:val="0"/>
      <w:divBdr>
        <w:top w:val="none" w:sz="0" w:space="0" w:color="auto"/>
        <w:left w:val="none" w:sz="0" w:space="0" w:color="auto"/>
        <w:bottom w:val="none" w:sz="0" w:space="0" w:color="auto"/>
        <w:right w:val="none" w:sz="0" w:space="0" w:color="auto"/>
      </w:divBdr>
    </w:div>
    <w:div w:id="1790735671">
      <w:bodyDiv w:val="1"/>
      <w:marLeft w:val="0"/>
      <w:marRight w:val="0"/>
      <w:marTop w:val="0"/>
      <w:marBottom w:val="0"/>
      <w:divBdr>
        <w:top w:val="none" w:sz="0" w:space="0" w:color="auto"/>
        <w:left w:val="none" w:sz="0" w:space="0" w:color="auto"/>
        <w:bottom w:val="none" w:sz="0" w:space="0" w:color="auto"/>
        <w:right w:val="none" w:sz="0" w:space="0" w:color="auto"/>
      </w:divBdr>
    </w:div>
    <w:div w:id="1947497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6708</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Musa</dc:creator>
  <cp:keywords/>
  <dc:description/>
  <cp:lastModifiedBy>Abdullahi Musa</cp:lastModifiedBy>
  <cp:revision>14</cp:revision>
  <dcterms:created xsi:type="dcterms:W3CDTF">2024-03-02T10:37:00Z</dcterms:created>
  <dcterms:modified xsi:type="dcterms:W3CDTF">2025-03-31T07:24:00Z</dcterms:modified>
</cp:coreProperties>
</file>