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3864"/>
          <w:sz w:val="32"/>
          <w:szCs w:val="32"/>
        </w:rPr>
        <w:t xml:space="preserve">Municipal Infrastructure Damage Reporting App</w:t>
      </w:r>
    </w:p>
    <w:p>
      <w:pPr>
        <w:spacing w:after="120"/>
        <w:jc w:val="center"/>
      </w:pPr>
      <w:r>
        <w:rPr>
          <w:i/>
          <w:iCs/>
          <w:color w:val="444444"/>
          <w:sz w:val="24"/>
          <w:szCs w:val="24"/>
        </w:rPr>
        <w:t xml:space="preserve">Requirements Table — Functional &amp; Non-Functional Requirements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Stakeholders / Actors: </w:t>
      </w:r>
      <w:r>
        <w:rPr>
          <w:sz w:val="20"/>
          <w:szCs w:val="20"/>
        </w:rPr>
        <w:t xml:space="preserve">Citizen Reporter, Municipal Engineer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4"/>
          <w:szCs w:val="24"/>
        </w:rPr>
        <w:t xml:space="preserve">Functional Requirements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200"/>
        <w:gridCol w:w="900"/>
        <w:gridCol w:w="4200"/>
        <w:gridCol w:w="3898"/>
      </w:tblGrid>
      <w:tr>
        <w:trPr>
          <w:cantSplit/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898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FR-001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extract EXIF GPS metadata from uploaded damage photos to automatically pinpoint the incident location on the municipal GIS map.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Pothole report routed to Road Infrastructure division with exact GPS coordinates. Fail: Report submitted without location data.</w:t>
            </w:r>
          </w:p>
        </w:tc>
        <w:tc>
          <w:tcPr>
            <w:tcW w:type="dxa" w:w="389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Automates location capture, removing manual entry errors and enabling accurate, department-specific dispatch.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FR-002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Citizen Reporter to classify a reported issue into a predefined category (Pothole, Broken Streetlight, Water Pipeline Leak) at the time of submission.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Selecting "Pothole" tags the report as category = Pothole and it appears in the Road Infrastructure queue. Fail: Report is accepted with no category selected.</w:t>
            </w:r>
          </w:p>
        </w:tc>
        <w:tc>
          <w:tcPr>
            <w:tcW w:type="dxa" w:w="389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categorization is a prerequisite for automated ticket routing to the appropriate engineering department.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FR-003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automatically generate a ticket and dispatch it to the relevant municipal engineering department (Road Infrastructure, Electrical/Streetlight, or Water Supply) based on damage category and GPS zone.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submitted pipeline-leak report generates a ticket assigned to the Water Supply division within 2 minutes. Fail: Ticket remains unassigned or is routed to the wrong department.</w:t>
            </w:r>
          </w:p>
        </w:tc>
        <w:tc>
          <w:tcPr>
            <w:tcW w:type="dxa" w:w="389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Removes manual triage effort for municipal staff and reduces the average response time to citizen-reported damage.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FR-004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allow the Citizen Reporter to view the real-time status of a submitted report (Received / In Progress / Resolved) and shall push a notification whenever the status changes.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Citizen receives a push/SMS notification within 5 minutes of a Municipal Engineer marking a ticket "Resolved." Fail: Status changes but no notification is generated.</w:t>
            </w:r>
          </w:p>
        </w:tc>
        <w:tc>
          <w:tcPr>
            <w:tcW w:type="dxa" w:w="389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Keeps citizens informed, builds public trust in the reporting process, and reduces duplicate complaints for the same issue.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FR-005</w:t>
            </w:r>
          </w:p>
        </w:tc>
        <w:tc>
          <w:tcPr>
            <w:tcW w:type="dxa" w:w="13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provide Municipal Engineers a dashboard to view, filter (by division, priority, SLA status), assign, and update tickets, and to attach resolution notes/photos on closure.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A Municipal Engineer filters open tickets by "Road Infrastructure," updates one ticket's status to "In Progress," and the change is reflected instantly. Fail: Dashboard fails to persist a status update.</w:t>
            </w:r>
          </w:p>
        </w:tc>
        <w:tc>
          <w:tcPr>
            <w:tcW w:type="dxa" w:w="3898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Provides the operational tool engineers need to manage and resolve incoming ticket volume efficiently.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F3864"/>
          <w:sz w:val="24"/>
          <w:szCs w:val="24"/>
        </w:rPr>
        <w:t xml:space="preserve">Non-Functional Requirements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200"/>
        <w:gridCol w:w="900"/>
        <w:gridCol w:w="4200"/>
        <w:gridCol w:w="3898"/>
      </w:tblGrid>
      <w:tr>
        <w:trPr>
          <w:cantSplit/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898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NFR-001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&amp; Security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reporting portal shall support offline report drafting and auto-sync when mobile network connectivity resumes.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Benchmarking tests confirm target latency and security standards are met under simulated peak load.</w:t>
            </w:r>
          </w:p>
        </w:tc>
        <w:tc>
          <w:tcPr>
            <w:tcW w:type="dxa" w:w="3898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Citizens reporting damage from low-connectivity areas must not lose report data, and synced data-in-transit must be secured against tampering.</w:t>
            </w:r>
          </w:p>
        </w:tc>
      </w:tr>
      <w:tr>
        <w:trPr>
          <w:cantSplit/>
        </w:trPr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NFR-002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Usability &amp; Scalability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shall remain usable on low-end Android devices (≥2GB RAM) over 2G/3G networks, and shall scale to at least 50,000 concurrent citizen users city-wide without response times exceeding 3 seconds.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Pass: Load testing with 50,000 simulated concurrent users shows 95th-percentile response time under 3 seconds, and the app functions correctly on a reference low-end device. Fail: Response times exceed the threshold or the app fails on low-end/low-bandwidth conditions.</w:t>
            </w:r>
          </w:p>
        </w:tc>
        <w:tc>
          <w:tcPr>
            <w:tcW w:type="dxa" w:w="3898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Infrastructure reporting must remain accessible to all citizens, including those with older devices and inconsistent connectivity in under-served areas.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2026-08-25T05:45:28.057Z</dcterms:created>
  <dcterms:modified xsi:type="dcterms:W3CDTF">2026-08-25T05:45:28.057Z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