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8CC" w:rsidRDefault="00F158CC" w:rsidP="00F158CC">
      <w:pPr>
        <w:pStyle w:val="Header"/>
        <w:rPr>
          <w:rFonts w:ascii="Avenir LT Pro 35 Light" w:eastAsia="Times New Roman" w:hAnsi="Avenir LT Pro 35 Light" w:cs="Times New Roman"/>
          <w:b/>
          <w:sz w:val="24"/>
          <w:szCs w:val="24"/>
        </w:rPr>
      </w:pPr>
    </w:p>
    <w:p w:rsidR="005400A2" w:rsidRDefault="00F158CC" w:rsidP="003C4AA2">
      <w:pPr>
        <w:pStyle w:val="Header"/>
        <w:jc w:val="center"/>
        <w:rPr>
          <w:rFonts w:ascii="Avenir LT Pro 35 Light" w:eastAsia="Times New Roman" w:hAnsi="Avenir LT Pro 35 Light" w:cs="Times New Roman"/>
          <w:b/>
          <w:sz w:val="24"/>
          <w:szCs w:val="24"/>
        </w:rPr>
      </w:pPr>
      <w:r w:rsidRPr="005C14AC">
        <w:rPr>
          <w:rFonts w:ascii="Avenir LT Pro 35 Light" w:hAnsi="Avenir LT Pro 35 Light"/>
          <w:noProof/>
          <w:sz w:val="21"/>
          <w:szCs w:val="21"/>
        </w:rPr>
        <w:drawing>
          <wp:anchor distT="0" distB="0" distL="114300" distR="114300" simplePos="0" relativeHeight="251659264" behindDoc="1" locked="0" layoutInCell="1" allowOverlap="1" wp14:anchorId="419FFCF3" wp14:editId="31B7C5B4">
            <wp:simplePos x="0" y="0"/>
            <wp:positionH relativeFrom="page">
              <wp:posOffset>8726170</wp:posOffset>
            </wp:positionH>
            <wp:positionV relativeFrom="page">
              <wp:posOffset>-48260</wp:posOffset>
            </wp:positionV>
            <wp:extent cx="1348740" cy="1137285"/>
            <wp:effectExtent l="0" t="0" r="3810" b="5715"/>
            <wp:wrapNone/>
            <wp:docPr id="7" name="Picture 7" descr="egdfiles:JENNY:ExecutiveOffices:7462_EXEC_Agenda-Templates:7462_EXEC_Agenda-Template-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gdfiles:JENNY:ExecutiveOffices:7462_EXEC_Agenda-Templates:7462_EXEC_Agenda-Template-Head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32" b="85753"/>
                    <a:stretch/>
                  </pic:blipFill>
                  <pic:spPr bwMode="auto">
                    <a:xfrm>
                      <a:off x="0" y="0"/>
                      <a:ext cx="134874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0A2" w:rsidRPr="005400A2">
        <w:rPr>
          <w:rFonts w:ascii="Avenir LT Pro 35 Light" w:eastAsia="Times New Roman" w:hAnsi="Avenir LT Pro 35 Light" w:cs="Times New Roman"/>
          <w:b/>
          <w:sz w:val="24"/>
          <w:szCs w:val="24"/>
        </w:rPr>
        <w:t>Analytic Chart of the Annual Exhibitions of the American Watercolor Society, 1867/68–1922</w:t>
      </w:r>
    </w:p>
    <w:p w:rsidR="005400A2" w:rsidRDefault="005400A2" w:rsidP="005400A2">
      <w:pPr>
        <w:pStyle w:val="Header"/>
        <w:jc w:val="center"/>
        <w:rPr>
          <w:rFonts w:ascii="Avenir LT Pro 35 Light" w:eastAsia="Times New Roman" w:hAnsi="Avenir LT Pro 35 Light" w:cs="Times New Roman"/>
          <w:sz w:val="21"/>
          <w:szCs w:val="21"/>
        </w:rPr>
      </w:pPr>
      <w:r w:rsidRPr="005400A2">
        <w:rPr>
          <w:rFonts w:ascii="Avenir LT Pro 35 Light" w:eastAsia="Times New Roman" w:hAnsi="Avenir LT Pro 35 Light" w:cs="Times New Roman"/>
          <w:sz w:val="21"/>
          <w:szCs w:val="21"/>
        </w:rPr>
        <w:t>Version 1: May 24, 2017</w:t>
      </w:r>
    </w:p>
    <w:p w:rsidR="005400A2" w:rsidRPr="005400A2" w:rsidRDefault="005400A2" w:rsidP="005400A2">
      <w:pPr>
        <w:pStyle w:val="Header"/>
        <w:jc w:val="center"/>
        <w:rPr>
          <w:sz w:val="21"/>
          <w:szCs w:val="21"/>
        </w:rPr>
      </w:pP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915"/>
        <w:gridCol w:w="951"/>
        <w:gridCol w:w="1659"/>
        <w:gridCol w:w="1260"/>
        <w:gridCol w:w="1350"/>
        <w:gridCol w:w="2250"/>
        <w:gridCol w:w="900"/>
        <w:gridCol w:w="900"/>
        <w:gridCol w:w="900"/>
        <w:gridCol w:w="720"/>
        <w:gridCol w:w="990"/>
        <w:gridCol w:w="1008"/>
      </w:tblGrid>
      <w:tr w:rsidR="005400A2" w:rsidRPr="00D90189" w:rsidTr="003C4AA2">
        <w:trPr>
          <w:trHeight w:val="600"/>
          <w:tblHeader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b/>
                <w:bCs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b/>
                <w:bCs/>
                <w:color w:val="000000"/>
                <w:sz w:val="21"/>
                <w:szCs w:val="21"/>
              </w:rPr>
              <w:t>Annual no.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b/>
                <w:bCs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b/>
                <w:bCs/>
                <w:color w:val="000000"/>
                <w:sz w:val="21"/>
                <w:szCs w:val="21"/>
              </w:rPr>
              <w:t>Year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b/>
                <w:bCs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b/>
                <w:bCs/>
                <w:color w:val="000000"/>
                <w:sz w:val="21"/>
                <w:szCs w:val="21"/>
              </w:rPr>
              <w:t>Dates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b/>
                <w:bCs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b/>
                <w:bCs/>
                <w:color w:val="000000"/>
                <w:sz w:val="21"/>
                <w:szCs w:val="21"/>
              </w:rPr>
              <w:t>Length of exhibition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b/>
                <w:bCs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b/>
                <w:bCs/>
                <w:color w:val="000000"/>
                <w:sz w:val="21"/>
                <w:szCs w:val="21"/>
              </w:rPr>
              <w:t>Exhibition location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b/>
                <w:bCs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b/>
                <w:bCs/>
                <w:color w:val="000000"/>
                <w:sz w:val="21"/>
                <w:szCs w:val="21"/>
              </w:rPr>
              <w:t>Exhibition address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b/>
                <w:bCs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b/>
                <w:bCs/>
                <w:color w:val="000000"/>
                <w:sz w:val="21"/>
                <w:szCs w:val="21"/>
              </w:rPr>
              <w:t># Illustrations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b/>
                <w:bCs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b/>
                <w:bCs/>
                <w:color w:val="000000"/>
                <w:sz w:val="21"/>
                <w:szCs w:val="21"/>
              </w:rPr>
              <w:t>Total entries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b/>
                <w:bCs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b/>
                <w:bCs/>
                <w:color w:val="000000"/>
                <w:sz w:val="21"/>
                <w:szCs w:val="21"/>
              </w:rPr>
              <w:t>Total Artists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b/>
                <w:bCs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b/>
                <w:bCs/>
                <w:color w:val="000000"/>
                <w:sz w:val="21"/>
                <w:szCs w:val="21"/>
              </w:rPr>
              <w:t>Men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b/>
                <w:bCs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b/>
                <w:bCs/>
                <w:color w:val="000000"/>
                <w:sz w:val="21"/>
                <w:szCs w:val="21"/>
              </w:rPr>
              <w:t>Women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b/>
                <w:bCs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b/>
                <w:bCs/>
                <w:color w:val="000000"/>
                <w:sz w:val="21"/>
                <w:szCs w:val="21"/>
              </w:rPr>
              <w:t>% women</w:t>
            </w:r>
          </w:p>
        </w:tc>
      </w:tr>
      <w:tr w:rsidR="005400A2" w:rsidRPr="00D90189" w:rsidTr="003C4AA2">
        <w:trPr>
          <w:trHeight w:val="6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1867/68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Dec. 20, 1867–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Mar. 11, 1868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12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National Academy of Design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23rd and 4th Avenue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276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109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81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28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26%</w:t>
            </w:r>
          </w:p>
        </w:tc>
      </w:tr>
      <w:tr w:rsidR="005400A2" w:rsidRPr="00D90189" w:rsidTr="003C4AA2">
        <w:trPr>
          <w:trHeight w:val="6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1869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Jan. 22–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Mar. 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6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National Academy of Design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23rd and 4th Avenue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102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24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24%</w:t>
            </w:r>
          </w:p>
        </w:tc>
      </w:tr>
      <w:tr w:rsidR="005400A2" w:rsidRPr="00D90189" w:rsidTr="003C4AA2">
        <w:trPr>
          <w:trHeight w:val="6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1870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Jan. 20–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Mar. 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6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National Academy of Design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23rd and 4th Avenue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194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96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73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24%</w:t>
            </w:r>
          </w:p>
        </w:tc>
      </w:tr>
      <w:tr w:rsidR="005400A2" w:rsidRPr="00D90189" w:rsidTr="003C4AA2">
        <w:trPr>
          <w:trHeight w:val="6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1871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Jan. 24–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Mar. 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6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National Academy of Design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23rd and 4th Avenue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173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63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15%</w:t>
            </w:r>
          </w:p>
        </w:tc>
      </w:tr>
      <w:tr w:rsidR="005400A2" w:rsidRPr="00D90189" w:rsidTr="003C4AA2">
        <w:trPr>
          <w:trHeight w:val="6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1872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Jan. 25–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Mar. 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6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National Academy of Design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23rd and 4th Avenue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341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127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103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24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19%</w:t>
            </w:r>
          </w:p>
        </w:tc>
      </w:tr>
      <w:tr w:rsidR="005400A2" w:rsidRPr="00D90189" w:rsidTr="003C4AA2">
        <w:trPr>
          <w:trHeight w:val="6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1873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Feb. 5–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Mar.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3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National Academy of Design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23rd and 4th Avenue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558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251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185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66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26%</w:t>
            </w:r>
          </w:p>
        </w:tc>
      </w:tr>
      <w:tr w:rsidR="005400A2" w:rsidRPr="00D90189" w:rsidTr="003C4AA2">
        <w:trPr>
          <w:trHeight w:val="6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7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1874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Jan. 28–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Mar. 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5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National Academy of Design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23rd and 4th Avenue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490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189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31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14%</w:t>
            </w:r>
          </w:p>
        </w:tc>
      </w:tr>
      <w:tr w:rsidR="005400A2" w:rsidRPr="00D90189" w:rsidTr="003C4AA2">
        <w:trPr>
          <w:trHeight w:val="6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1875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Jan. 30–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Feb. 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4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National Academy of Design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23rd and 4th Avenue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589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248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198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50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20%</w:t>
            </w:r>
          </w:p>
        </w:tc>
      </w:tr>
      <w:tr w:rsidR="005400A2" w:rsidRPr="00D90189" w:rsidTr="003C4AA2">
        <w:trPr>
          <w:trHeight w:val="6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9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1876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Jan. 29–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Feb. 26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4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National Academy of Design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23rd and 4th Avenue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605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243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173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70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29%</w:t>
            </w:r>
          </w:p>
        </w:tc>
      </w:tr>
      <w:tr w:rsidR="005400A2" w:rsidRPr="00D90189" w:rsidTr="003C4AA2">
        <w:trPr>
          <w:trHeight w:val="6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1877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Jan. 20–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Mar. 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6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 xml:space="preserve">National Academy of 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lastRenderedPageBreak/>
              <w:t>Design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lastRenderedPageBreak/>
              <w:t>23rd and 4th Avenue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529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240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192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48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20%</w:t>
            </w:r>
          </w:p>
        </w:tc>
      </w:tr>
      <w:tr w:rsidR="005400A2" w:rsidRPr="00D90189" w:rsidTr="003C4AA2">
        <w:trPr>
          <w:trHeight w:val="6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lastRenderedPageBreak/>
              <w:t>11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1878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Feb. 1–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Mar. 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4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National Academy of Design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23rd and 4th Avenue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569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242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52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21%</w:t>
            </w:r>
          </w:p>
        </w:tc>
      </w:tr>
      <w:tr w:rsidR="005400A2" w:rsidRPr="00D90189" w:rsidTr="003C4AA2">
        <w:trPr>
          <w:trHeight w:val="12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1879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Jan. 31–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Mar.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4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National Academy of Design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23rd and 4th Avenue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63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596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at least 211 (missing page)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00A2" w:rsidRPr="00D90189" w:rsidRDefault="005400A2" w:rsidP="003C4AA2">
            <w:pPr>
              <w:jc w:val="center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#VALUE!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at least 48 (missing page)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center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#VALUE!</w:t>
            </w:r>
          </w:p>
        </w:tc>
      </w:tr>
      <w:tr w:rsidR="005400A2" w:rsidRPr="00D90189" w:rsidTr="003C4AA2">
        <w:trPr>
          <w:trHeight w:val="6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1880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Jan. 30–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Mar.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4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National Academy of Design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23rd and 4th Avenue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75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766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296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229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67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23%</w:t>
            </w:r>
          </w:p>
        </w:tc>
      </w:tr>
      <w:tr w:rsidR="005400A2" w:rsidRPr="00D90189" w:rsidTr="003C4AA2">
        <w:trPr>
          <w:trHeight w:val="6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1881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Jan. 21–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Feb. 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4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National Academy of Design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23rd and 4th Avenue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83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804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57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21%</w:t>
            </w:r>
          </w:p>
        </w:tc>
      </w:tr>
      <w:tr w:rsidR="005400A2" w:rsidRPr="00D90189" w:rsidTr="003C4AA2">
        <w:trPr>
          <w:trHeight w:val="6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1882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Jan. 27–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Feb. 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4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National Academy of Design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23rd and 4th Avenue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650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243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193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50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21%</w:t>
            </w:r>
          </w:p>
        </w:tc>
      </w:tr>
      <w:tr w:rsidR="005400A2" w:rsidRPr="00D90189" w:rsidTr="003C4AA2">
        <w:trPr>
          <w:trHeight w:val="6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1883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Jan. 26–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Feb. 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4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National Academy of Design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23rd and 4th Avenue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75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605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264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49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19%</w:t>
            </w:r>
          </w:p>
        </w:tc>
      </w:tr>
      <w:tr w:rsidR="005400A2" w:rsidRPr="00D90189" w:rsidTr="003C4AA2">
        <w:trPr>
          <w:trHeight w:val="6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17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1884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Feb. 1–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Mar.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4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National Academy of Design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23rd and 4th Avenue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663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280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207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73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26%</w:t>
            </w:r>
          </w:p>
        </w:tc>
      </w:tr>
      <w:tr w:rsidR="005400A2" w:rsidRPr="00D90189" w:rsidTr="003C4AA2">
        <w:trPr>
          <w:trHeight w:val="6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1885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Jan. 30–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Feb. 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4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National Academy of Design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23rd and 4th Avenue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740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310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229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81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26%</w:t>
            </w:r>
          </w:p>
        </w:tc>
      </w:tr>
      <w:tr w:rsidR="005400A2" w:rsidRPr="00D90189" w:rsidTr="003C4AA2">
        <w:trPr>
          <w:trHeight w:val="6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19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1886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Jan. 29–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Feb. 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4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National Academy of Design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23rd and 4th Avenue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847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339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241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98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29%</w:t>
            </w:r>
          </w:p>
        </w:tc>
      </w:tr>
      <w:tr w:rsidR="005400A2" w:rsidRPr="00D90189" w:rsidTr="003C4AA2">
        <w:trPr>
          <w:trHeight w:val="6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1887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Jan. 28–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Feb. 26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4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 xml:space="preserve">National Academy of 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lastRenderedPageBreak/>
              <w:t>Design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lastRenderedPageBreak/>
              <w:t>23rd and 4th Avenue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656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282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209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73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26%</w:t>
            </w:r>
          </w:p>
        </w:tc>
      </w:tr>
      <w:tr w:rsidR="005400A2" w:rsidRPr="00D90189" w:rsidTr="003C4AA2">
        <w:trPr>
          <w:trHeight w:val="6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lastRenderedPageBreak/>
              <w:t>21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1888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Jan. 27–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Feb. 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4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National Academy of Design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23rd and 4th Avenue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674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284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72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25%</w:t>
            </w:r>
          </w:p>
        </w:tc>
      </w:tr>
      <w:tr w:rsidR="005400A2" w:rsidRPr="00D90189" w:rsidTr="003C4AA2">
        <w:trPr>
          <w:trHeight w:val="6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1889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Feb. 1–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Mar.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4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National Academy of Design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23rd and 4th Avenue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784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330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245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85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26%</w:t>
            </w:r>
          </w:p>
        </w:tc>
      </w:tr>
      <w:tr w:rsidR="005400A2" w:rsidRPr="00D90189" w:rsidTr="003C4AA2">
        <w:trPr>
          <w:trHeight w:val="6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1890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Feb. 3–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Mar.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4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National Academy of Design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23rd and 4th Avenue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645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TK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center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#VALUE!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TK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jc w:val="center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#VALUE!</w:t>
            </w:r>
          </w:p>
        </w:tc>
      </w:tr>
      <w:tr w:rsidR="005400A2" w:rsidRPr="00D90189" w:rsidTr="003C4AA2">
        <w:trPr>
          <w:trHeight w:val="6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1891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Feb. 2–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4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National Academy of Design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23rd and 4th Avenue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5400A2" w:rsidRPr="00D90189" w:rsidTr="003C4AA2">
        <w:trPr>
          <w:trHeight w:val="6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1892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Feb. 1–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4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National Academy of Design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23rd and 4th Avenue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5400A2" w:rsidRPr="00D90189" w:rsidTr="003C4AA2">
        <w:trPr>
          <w:trHeight w:val="6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1893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Jan. 30–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Feb. 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4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National Academy of Design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23rd and 4th Avenue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5400A2" w:rsidRPr="00D90189" w:rsidTr="003C4AA2">
        <w:trPr>
          <w:trHeight w:val="6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27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1894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Feb. 5–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Mar. 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4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National Academy of Design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23rd and 4th Avenue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5400A2" w:rsidRPr="00D90189" w:rsidTr="003C4AA2">
        <w:trPr>
          <w:trHeight w:val="6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1895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Feb. 4–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Mar.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4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National Academy of Design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23rd and 4th Avenue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5400A2" w:rsidRPr="00D90189" w:rsidTr="003C4AA2">
        <w:trPr>
          <w:trHeight w:val="6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1896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Feb. 3–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4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National Academy of Design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23rd and 4th Avenue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5400A2" w:rsidRPr="00D90189" w:rsidTr="003C4AA2">
        <w:trPr>
          <w:trHeight w:val="6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1897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Feb. 1–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4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National Academy of Design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23rd and 4th Avenue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5400A2" w:rsidRPr="00D90189" w:rsidTr="003C4AA2">
        <w:trPr>
          <w:trHeight w:val="6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lastRenderedPageBreak/>
              <w:t>31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1898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Jan. 31–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Feb. 26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4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National Academy of Design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23rd and 4th Avenue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5400A2" w:rsidRPr="00D90189" w:rsidTr="003C4AA2">
        <w:trPr>
          <w:trHeight w:val="6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32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1899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Feb. 13–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Mar. 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4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National Academy of Design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23rd and 4th Avenue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5400A2" w:rsidRPr="00D90189" w:rsidTr="003C4AA2">
        <w:trPr>
          <w:trHeight w:val="6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33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1900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Feb. 5–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Waldorf-Astoria Hotel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33rd Street and 5th Avenue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5400A2" w:rsidRPr="00D90189" w:rsidTr="003C4AA2">
        <w:trPr>
          <w:trHeight w:val="6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34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1901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Feb. 11–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Mar. 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7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National Academy of Design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23rd and 4th Avenue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5400A2" w:rsidRPr="00D90189" w:rsidTr="003C4AA2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35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1902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Apr. 21–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May 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American Art Galleries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6 East 23rd Street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5400A2" w:rsidRPr="00D90189" w:rsidTr="003C4AA2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36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1903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Apr. 20–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30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American Art Galleries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6 East 23rd Street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5400A2" w:rsidRPr="00D90189" w:rsidTr="003C4AA2">
        <w:trPr>
          <w:trHeight w:val="6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37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1904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Apr. 29–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May 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American Art Galleries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6 East 23rd Street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5400A2" w:rsidRPr="00D90189" w:rsidTr="003C4AA2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38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1905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March 8–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2.5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National Arts Club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119 East 19th Street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5400A2" w:rsidRPr="00D90189" w:rsidTr="003C4AA2">
        <w:trPr>
          <w:trHeight w:val="6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39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1906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May 3–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3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American Fine Arts Galleries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215 West 57th Street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5400A2" w:rsidRPr="00D90189" w:rsidTr="003C4AA2">
        <w:trPr>
          <w:trHeight w:val="6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40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1907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May 2–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3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American Fine Arts Galleries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215 West 57th Street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5400A2" w:rsidRPr="00D90189" w:rsidTr="003C4AA2">
        <w:trPr>
          <w:trHeight w:val="6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41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1908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Apr. 13–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May 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6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American Fine Arts Galleries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215 West 57th Street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5400A2" w:rsidRPr="00D90189" w:rsidTr="003C4AA2">
        <w:trPr>
          <w:trHeight w:val="6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lastRenderedPageBreak/>
              <w:t>42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1909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Apr. 20–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May 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3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American Fine Arts Galleries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215 West 57th Street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5400A2" w:rsidRPr="00D90189" w:rsidTr="003C4AA2">
        <w:trPr>
          <w:trHeight w:val="6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43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1910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Apr. 28–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May 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3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American Fine Arts Galleries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215 West 57th Street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5400A2" w:rsidRPr="00D90189" w:rsidTr="003C4AA2">
        <w:trPr>
          <w:trHeight w:val="6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44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1911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Apr. 27–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May 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3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American Fine Arts Galleries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215 West 57th Street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5400A2" w:rsidRPr="00D90189" w:rsidTr="003C4AA2">
        <w:trPr>
          <w:trHeight w:val="6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45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1912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Apr. 25–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May 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American Fine Arts Galleries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215 West 57th Street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5400A2" w:rsidRPr="00D90189" w:rsidTr="003C4AA2">
        <w:trPr>
          <w:trHeight w:val="6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46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1913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March 3–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proofErr w:type="spellStart"/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Knoedler</w:t>
            </w:r>
            <w:proofErr w:type="spellEnd"/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 xml:space="preserve"> Galleries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556 and 558 Fifth Avenue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5400A2" w:rsidRPr="00D90189" w:rsidTr="003C4AA2">
        <w:trPr>
          <w:trHeight w:val="6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47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1914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Feb. 16–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proofErr w:type="spellStart"/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Knoedler</w:t>
            </w:r>
            <w:proofErr w:type="spellEnd"/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 xml:space="preserve"> Galleries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556 and 558 Fifth Avenue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5400A2" w:rsidRPr="00D90189" w:rsidTr="003C4AA2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48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1915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Feb. 4–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3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National Arts Club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119 East 19th Street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5400A2" w:rsidRPr="00D90189" w:rsidTr="003C4AA2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49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1916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Feb. 3–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3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National Arts Club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119 East 19th Street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5400A2" w:rsidRPr="00D90189" w:rsidTr="003C4AA2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1917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Feb. 1–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3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National Arts Club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119 East 19th Street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5400A2" w:rsidRPr="00D90189" w:rsidTr="003C4AA2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51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1918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Feb. 7–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Mar.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3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National Arts Club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119 East 19th Street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5400A2" w:rsidRPr="00D90189" w:rsidTr="003C4AA2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52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1919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 xml:space="preserve">Feb. </w:t>
            </w: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6–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3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National Arts Club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119 East 19th Street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5400A2" w:rsidRPr="00D90189" w:rsidTr="003C4AA2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53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1920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Feb. 4–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3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National Arts Club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119 East 19th Street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5400A2" w:rsidRPr="00D90189" w:rsidTr="003C4AA2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54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1921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Feb. 3–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3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National Arts Club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119 East 19th Street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5400A2" w:rsidRPr="00D90189" w:rsidTr="003C4AA2">
        <w:trPr>
          <w:trHeight w:val="6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jc w:val="right"/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55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1921/22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Dec. 22, 1921–</w:t>
            </w: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Jan. 9, 1922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American Fine Arts Building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215 West 57th Street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0A2" w:rsidRPr="00D90189" w:rsidRDefault="005400A2" w:rsidP="003C4AA2">
            <w:pPr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</w:pPr>
            <w:r w:rsidRPr="00D90189">
              <w:rPr>
                <w:rFonts w:ascii="Avenir LT Pro 35 Light" w:eastAsia="Times New Roman" w:hAnsi="Avenir LT Pro 35 Light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:rsidR="005400A2" w:rsidRPr="00D90189" w:rsidRDefault="005400A2" w:rsidP="00225B6F">
      <w:pPr>
        <w:rPr>
          <w:rFonts w:ascii="Avenir LT Pro 35 Light" w:hAnsi="Avenir LT Pro 35 Light"/>
          <w:sz w:val="21"/>
          <w:szCs w:val="21"/>
        </w:rPr>
      </w:pPr>
    </w:p>
    <w:sectPr w:rsidR="005400A2" w:rsidRPr="00D90189" w:rsidSect="005400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739" w:rsidRDefault="00DC3739" w:rsidP="005400A2">
      <w:r>
        <w:separator/>
      </w:r>
    </w:p>
  </w:endnote>
  <w:endnote w:type="continuationSeparator" w:id="0">
    <w:p w:rsidR="00DC3739" w:rsidRDefault="00DC3739" w:rsidP="00540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venir LT Pro 35 Light">
    <w:panose1 w:val="020B0402020203020204"/>
    <w:charset w:val="00"/>
    <w:family w:val="swiss"/>
    <w:notTrueType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DFD" w:rsidRDefault="00C96D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6416678"/>
      <w:docPartObj>
        <w:docPartGallery w:val="Page Numbers (Bottom of Page)"/>
        <w:docPartUnique/>
      </w:docPartObj>
    </w:sdtPr>
    <w:sdtEndPr>
      <w:rPr>
        <w:rFonts w:ascii="Avenir LT Pro 35 Light" w:hAnsi="Avenir LT Pro 35 Light"/>
        <w:noProof/>
        <w:sz w:val="21"/>
        <w:szCs w:val="21"/>
      </w:rPr>
    </w:sdtEndPr>
    <w:sdtContent>
      <w:p w:rsidR="005400A2" w:rsidRPr="005400A2" w:rsidRDefault="005400A2" w:rsidP="005400A2">
        <w:pPr>
          <w:pStyle w:val="Footer"/>
          <w:rPr>
            <w:rFonts w:ascii="Avenir LT Pro 35 Light" w:hAnsi="Avenir LT Pro 35 Light"/>
            <w:sz w:val="21"/>
            <w:szCs w:val="21"/>
          </w:rPr>
        </w:pPr>
        <w:r>
          <w:rPr>
            <w:rFonts w:ascii="Avenir LT Pro 35 Light" w:hAnsi="Avenir LT Pro 35 Light"/>
            <w:sz w:val="21"/>
            <w:szCs w:val="21"/>
          </w:rPr>
          <w:t xml:space="preserve">Philadelphia Museum of Art </w:t>
        </w:r>
      </w:p>
      <w:p w:rsidR="005400A2" w:rsidRPr="005400A2" w:rsidRDefault="005400A2">
        <w:pPr>
          <w:pStyle w:val="Footer"/>
          <w:jc w:val="right"/>
          <w:rPr>
            <w:rFonts w:ascii="Avenir LT Pro 35 Light" w:hAnsi="Avenir LT Pro 35 Light"/>
            <w:sz w:val="21"/>
            <w:szCs w:val="21"/>
          </w:rPr>
        </w:pPr>
        <w:r w:rsidRPr="005400A2">
          <w:rPr>
            <w:rFonts w:ascii="Avenir LT Pro 35 Light" w:hAnsi="Avenir LT Pro 35 Light"/>
            <w:sz w:val="21"/>
            <w:szCs w:val="21"/>
          </w:rPr>
          <w:fldChar w:fldCharType="begin"/>
        </w:r>
        <w:r w:rsidRPr="005400A2">
          <w:rPr>
            <w:rFonts w:ascii="Avenir LT Pro 35 Light" w:hAnsi="Avenir LT Pro 35 Light"/>
            <w:sz w:val="21"/>
            <w:szCs w:val="21"/>
          </w:rPr>
          <w:instrText xml:space="preserve"> PAGE   \* MERGEFORMAT </w:instrText>
        </w:r>
        <w:r w:rsidRPr="005400A2">
          <w:rPr>
            <w:rFonts w:ascii="Avenir LT Pro 35 Light" w:hAnsi="Avenir LT Pro 35 Light"/>
            <w:sz w:val="21"/>
            <w:szCs w:val="21"/>
          </w:rPr>
          <w:fldChar w:fldCharType="separate"/>
        </w:r>
        <w:r w:rsidR="00C96DFD">
          <w:rPr>
            <w:rFonts w:ascii="Avenir LT Pro 35 Light" w:hAnsi="Avenir LT Pro 35 Light"/>
            <w:noProof/>
            <w:sz w:val="21"/>
            <w:szCs w:val="21"/>
          </w:rPr>
          <w:t>2</w:t>
        </w:r>
        <w:r w:rsidRPr="005400A2">
          <w:rPr>
            <w:rFonts w:ascii="Avenir LT Pro 35 Light" w:hAnsi="Avenir LT Pro 35 Light"/>
            <w:noProof/>
            <w:sz w:val="21"/>
            <w:szCs w:val="21"/>
          </w:rPr>
          <w:fldChar w:fldCharType="end"/>
        </w:r>
      </w:p>
    </w:sdtContent>
  </w:sdt>
  <w:p w:rsidR="005400A2" w:rsidRDefault="005400A2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DFD" w:rsidRDefault="00C96D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739" w:rsidRDefault="00DC3739" w:rsidP="005400A2">
      <w:r>
        <w:separator/>
      </w:r>
    </w:p>
  </w:footnote>
  <w:footnote w:type="continuationSeparator" w:id="0">
    <w:p w:rsidR="00DC3739" w:rsidRDefault="00DC3739" w:rsidP="005400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DFD" w:rsidRDefault="00C96D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0A2" w:rsidRPr="005400A2" w:rsidRDefault="005400A2" w:rsidP="00C96DFD">
    <w:pPr>
      <w:pStyle w:val="Header"/>
      <w:rPr>
        <w:rFonts w:ascii="Avenir LT Pro 35 Light" w:eastAsia="Times New Roman" w:hAnsi="Avenir LT Pro 35 Light" w:cs="Times New Roman"/>
        <w:sz w:val="21"/>
        <w:szCs w:val="21"/>
      </w:rPr>
    </w:pPr>
    <w:r w:rsidRPr="005400A2">
      <w:rPr>
        <w:rFonts w:ascii="Avenir LT Pro 35 Light" w:eastAsia="Times New Roman" w:hAnsi="Avenir LT Pro 35 Light" w:cs="Times New Roman"/>
        <w:sz w:val="21"/>
        <w:szCs w:val="21"/>
      </w:rPr>
      <w:t>Analytic Chart of the Annual Exhibitions of the American Watercolor Society, 1867/68–1922</w:t>
    </w:r>
    <w:r w:rsidR="00C96DFD">
      <w:rPr>
        <w:rFonts w:ascii="Avenir LT Pro 35 Light" w:eastAsia="Times New Roman" w:hAnsi="Avenir LT Pro 35 Light" w:cs="Times New Roman"/>
        <w:sz w:val="21"/>
        <w:szCs w:val="21"/>
      </w:rPr>
      <w:t xml:space="preserve"> | </w:t>
    </w:r>
    <w:r w:rsidR="00C96DFD" w:rsidRPr="005400A2">
      <w:rPr>
        <w:rFonts w:ascii="Avenir LT Pro 35 Light" w:eastAsia="Times New Roman" w:hAnsi="Avenir LT Pro 35 Light" w:cs="Times New Roman"/>
        <w:sz w:val="21"/>
        <w:szCs w:val="21"/>
      </w:rPr>
      <w:t xml:space="preserve">Version 1: May 24, </w:t>
    </w:r>
    <w:r w:rsidR="00C96DFD" w:rsidRPr="005400A2">
      <w:rPr>
        <w:rFonts w:ascii="Avenir LT Pro 35 Light" w:eastAsia="Times New Roman" w:hAnsi="Avenir LT Pro 35 Light" w:cs="Times New Roman"/>
        <w:sz w:val="21"/>
        <w:szCs w:val="21"/>
      </w:rPr>
      <w:t>2017</w:t>
    </w:r>
    <w:bookmarkStart w:id="0" w:name="_GoBack"/>
    <w:bookmarkEnd w:id="0"/>
  </w:p>
  <w:p w:rsidR="005400A2" w:rsidRPr="005400A2" w:rsidRDefault="005400A2" w:rsidP="005400A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DFD" w:rsidRDefault="00C96D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189"/>
    <w:rsid w:val="00012A7B"/>
    <w:rsid w:val="00225B6F"/>
    <w:rsid w:val="00466473"/>
    <w:rsid w:val="005400A2"/>
    <w:rsid w:val="00972798"/>
    <w:rsid w:val="00C96DFD"/>
    <w:rsid w:val="00D90189"/>
    <w:rsid w:val="00DC3739"/>
    <w:rsid w:val="00E30C56"/>
    <w:rsid w:val="00F1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0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0A2"/>
  </w:style>
  <w:style w:type="paragraph" w:styleId="Footer">
    <w:name w:val="footer"/>
    <w:basedOn w:val="Normal"/>
    <w:link w:val="FooterChar"/>
    <w:uiPriority w:val="99"/>
    <w:unhideWhenUsed/>
    <w:rsid w:val="005400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0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0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0A2"/>
  </w:style>
  <w:style w:type="paragraph" w:styleId="Footer">
    <w:name w:val="footer"/>
    <w:basedOn w:val="Normal"/>
    <w:link w:val="FooterChar"/>
    <w:uiPriority w:val="99"/>
    <w:unhideWhenUsed/>
    <w:rsid w:val="005400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680</Words>
  <Characters>4781</Characters>
  <Application>Microsoft Office Word</Application>
  <DocSecurity>0</DocSecurity>
  <Lines>164</Lines>
  <Paragraphs>140</Paragraphs>
  <ScaleCrop>false</ScaleCrop>
  <Company/>
  <LinksUpToDate>false</LinksUpToDate>
  <CharactersWithSpaces>5321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Torbert</dc:creator>
  <cp:lastModifiedBy>Wratschko, Karina</cp:lastModifiedBy>
  <cp:revision>6</cp:revision>
  <dcterms:created xsi:type="dcterms:W3CDTF">2017-05-24T18:45:00Z</dcterms:created>
  <dcterms:modified xsi:type="dcterms:W3CDTF">2017-07-03T15:40:00Z</dcterms:modified>
</cp:coreProperties>
</file>