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Infrastructure Optimization Report</w:t>
      </w:r>
    </w:p>
    <w:p>
      <w:r>
        <w:t>Client: Test Client</w:t>
      </w:r>
    </w:p>
    <w:p>
      <w:r>
        <w:t>Generated: 2025-12-31 05:48:52 UTC</w:t>
      </w:r>
    </w:p>
    <w:p/>
    <w:p>
      <w:pPr>
        <w:pStyle w:val="Heading1"/>
      </w:pPr>
      <w:r>
        <w:t>Executive Summary</w:t>
      </w:r>
    </w:p>
    <w:p>
      <w:r>
        <w:rPr>
          <w:b/>
        </w:rPr>
        <w:t>Total Potential Monthly Savings: $235.39</w:t>
        <w:br/>
      </w:r>
      <w:r>
        <w:t>High Priority Recommendations: 5</w:t>
        <w:br/>
      </w:r>
      <w:r>
        <w:t>Medium Priority Recommendations: 2</w:t>
        <w:br/>
      </w:r>
    </w:p>
    <w:p/>
    <w:p>
      <w:pPr>
        <w:pStyle w:val="Heading1"/>
      </w:pPr>
      <w:r>
        <w:t>EC2 Instance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FFF00"/>
          </w:tcPr>
          <w:p>
            <w:r>
              <w:rPr>
                <w:b/>
              </w:rPr>
              <w:t>Instance ID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Current Type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Current Cost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New Cost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Monthly Savings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080"/>
            <w:shd w:fill="FFFF0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080"/>
          </w:tcPr>
          <w:p>
            <w:r>
              <w:t>i-1234567890abcdef0</w:t>
            </w:r>
          </w:p>
        </w:tc>
        <w:tc>
          <w:tcPr>
            <w:tcW w:type="dxa" w:w="1080"/>
          </w:tcPr>
          <w:p>
            <w:r>
              <w:t>m5.xlarge</w:t>
            </w:r>
          </w:p>
        </w:tc>
        <w:tc>
          <w:tcPr>
            <w:tcW w:type="dxa" w:w="1080"/>
          </w:tcPr>
          <w:p>
            <w:r>
              <w:t>m5.large</w:t>
            </w:r>
          </w:p>
        </w:tc>
        <w:tc>
          <w:tcPr>
            <w:tcW w:type="dxa" w:w="1080"/>
          </w:tcPr>
          <w:p>
            <w:r>
              <w:t>$140.16</w:t>
            </w:r>
          </w:p>
        </w:tc>
        <w:tc>
          <w:tcPr>
            <w:tcW w:type="dxa" w:w="1080"/>
          </w:tcPr>
          <w:p>
            <w:r>
              <w:t>$70.08</w:t>
            </w:r>
          </w:p>
        </w:tc>
        <w:tc>
          <w:tcPr>
            <w:tcW w:type="dxa" w:w="1080"/>
          </w:tcPr>
          <w:p>
            <w:r>
              <w:t>$70.08</w:t>
            </w:r>
          </w:p>
        </w:tc>
        <w:tc>
          <w:tcPr>
            <w:tcW w:type="dxa" w:w="1080"/>
          </w:tcPr>
          <w:p>
            <w:r>
              <w:t>Low CPU utilization (CPU: 8.5%)</w:t>
            </w:r>
          </w:p>
        </w:tc>
        <w:tc>
          <w:tcPr>
            <w:tcW w:type="dxa" w:w="1080"/>
            <w:shd w:fill="90EE90"/>
          </w:tcPr>
          <w:p>
            <w:r>
              <w:t>High</w:t>
            </w:r>
          </w:p>
        </w:tc>
      </w:tr>
      <w:tr>
        <w:tc>
          <w:tcPr>
            <w:tcW w:type="dxa" w:w="1080"/>
          </w:tcPr>
          <w:p>
            <w:r>
              <w:t>i-0987654321fedcba0</w:t>
            </w:r>
          </w:p>
        </w:tc>
        <w:tc>
          <w:tcPr>
            <w:tcW w:type="dxa" w:w="1080"/>
          </w:tcPr>
          <w:p>
            <w:r>
              <w:t>t3.medium</w:t>
            </w:r>
          </w:p>
        </w:tc>
        <w:tc>
          <w:tcPr>
            <w:tcW w:type="dxa" w:w="1080"/>
          </w:tcPr>
          <w:p>
            <w:r>
              <w:t>t3.small</w:t>
            </w:r>
          </w:p>
        </w:tc>
        <w:tc>
          <w:tcPr>
            <w:tcW w:type="dxa" w:w="1080"/>
          </w:tcPr>
          <w:p>
            <w:r>
              <w:t>$30.37</w:t>
            </w:r>
          </w:p>
        </w:tc>
        <w:tc>
          <w:tcPr>
            <w:tcW w:type="dxa" w:w="1080"/>
          </w:tcPr>
          <w:p>
            <w:r>
              <w:t>$15.18</w:t>
            </w:r>
          </w:p>
        </w:tc>
        <w:tc>
          <w:tcPr>
            <w:tcW w:type="dxa" w:w="1080"/>
          </w:tcPr>
          <w:p>
            <w:r>
              <w:t>$15.19</w:t>
            </w:r>
          </w:p>
        </w:tc>
        <w:tc>
          <w:tcPr>
            <w:tcW w:type="dxa" w:w="1080"/>
          </w:tcPr>
          <w:p>
            <w:r>
              <w:t>Overprovisioned (CPU: 12.3%)</w:t>
            </w:r>
          </w:p>
        </w:tc>
        <w:tc>
          <w:tcPr>
            <w:tcW w:type="dxa" w:w="1080"/>
            <w:shd w:fill="90EE9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EBS Volume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FF00"/>
          </w:tcPr>
          <w:p>
            <w:r>
              <w:rPr>
                <w:b/>
              </w:rPr>
              <w:t>Volume ID</w:t>
            </w:r>
          </w:p>
        </w:tc>
        <w:tc>
          <w:tcPr>
            <w:tcW w:type="dxa" w:w="1440"/>
            <w:shd w:fill="FFFF00"/>
          </w:tcPr>
          <w:p>
            <w:r>
              <w:rPr>
                <w:b/>
              </w:rPr>
              <w:t>Size (GB)</w:t>
            </w:r>
          </w:p>
        </w:tc>
        <w:tc>
          <w:tcPr>
            <w:tcW w:type="dxa" w:w="1440"/>
            <w:shd w:fill="FFFF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  <w:shd w:fill="FFFF0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FFFF0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440"/>
            <w:shd w:fill="FFFF00"/>
          </w:tcPr>
          <w:p>
            <w:r>
              <w:rPr>
                <w:b/>
              </w:rPr>
              <w:t>Monthly Savings</w:t>
            </w:r>
          </w:p>
        </w:tc>
      </w:tr>
      <w:tr>
        <w:tc>
          <w:tcPr>
            <w:tcW w:type="dxa" w:w="1440"/>
          </w:tcPr>
          <w:p>
            <w:r>
              <w:t>vol-1234567890abcdef0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gp2</w:t>
            </w:r>
          </w:p>
        </w:tc>
        <w:tc>
          <w:tcPr>
            <w:tcW w:type="dxa" w:w="1440"/>
          </w:tcPr>
          <w:p>
            <w:r>
              <w:t>Using gp2</w:t>
            </w:r>
          </w:p>
        </w:tc>
        <w:tc>
          <w:tcPr>
            <w:tcW w:type="dxa" w:w="1440"/>
          </w:tcPr>
          <w:p>
            <w:r>
              <w:t>Migrate to gp3 for better performance and cost</w:t>
            </w:r>
          </w:p>
        </w:tc>
        <w:tc>
          <w:tcPr>
            <w:tcW w:type="dxa" w:w="1440"/>
          </w:tcPr>
          <w:p>
            <w:r>
              <w:t>$2.00</w:t>
            </w:r>
          </w:p>
        </w:tc>
      </w:tr>
      <w:tr>
        <w:tc>
          <w:tcPr>
            <w:tcW w:type="dxa" w:w="1440"/>
          </w:tcPr>
          <w:p>
            <w:r>
              <w:t>vol-0987654321fedcba0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gp2</w:t>
            </w:r>
          </w:p>
        </w:tc>
        <w:tc>
          <w:tcPr>
            <w:tcW w:type="dxa" w:w="1440"/>
          </w:tcPr>
          <w:p>
            <w:r>
              <w:t>Unattached</w:t>
            </w:r>
          </w:p>
        </w:tc>
        <w:tc>
          <w:tcPr>
            <w:tcW w:type="dxa" w:w="1440"/>
          </w:tcPr>
          <w:p>
            <w:r>
              <w:t>Delete if not needed or attach to instance</w:t>
            </w:r>
          </w:p>
        </w:tc>
        <w:tc>
          <w:tcPr>
            <w:tcW w:type="dxa" w:w="1440"/>
          </w:tcPr>
          <w:p>
            <w:r>
              <w:t>$50.00</w:t>
            </w:r>
          </w:p>
        </w:tc>
      </w:tr>
    </w:tbl>
    <w:p/>
    <w:p>
      <w:pPr>
        <w:pStyle w:val="Heading1"/>
      </w:pPr>
      <w:r>
        <w:t>RDS Instance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FFF00"/>
          </w:tcPr>
          <w:p>
            <w:r>
              <w:rPr>
                <w:b/>
              </w:rPr>
              <w:t>DB Identifier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Current Class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Current Cost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New Cost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Monthly Savings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234"/>
          </w:tcPr>
          <w:p>
            <w:r>
              <w:t>test-database</w:t>
            </w:r>
          </w:p>
        </w:tc>
        <w:tc>
          <w:tcPr>
            <w:tcW w:type="dxa" w:w="1234"/>
          </w:tcPr>
          <w:p>
            <w:r>
              <w:t>db.m5.large</w:t>
            </w:r>
          </w:p>
        </w:tc>
        <w:tc>
          <w:tcPr>
            <w:tcW w:type="dxa" w:w="1234"/>
          </w:tcPr>
          <w:p>
            <w:r>
              <w:t>db.t3.medium</w:t>
            </w:r>
          </w:p>
        </w:tc>
        <w:tc>
          <w:tcPr>
            <w:tcW w:type="dxa" w:w="1234"/>
          </w:tcPr>
          <w:p>
            <w:r>
              <w:t>$140.16</w:t>
            </w:r>
          </w:p>
        </w:tc>
        <w:tc>
          <w:tcPr>
            <w:tcW w:type="dxa" w:w="1234"/>
          </w:tcPr>
          <w:p>
            <w:r>
              <w:t>$49.64</w:t>
            </w:r>
          </w:p>
        </w:tc>
        <w:tc>
          <w:tcPr>
            <w:tcW w:type="dxa" w:w="1234"/>
          </w:tcPr>
          <w:p>
            <w:r>
              <w:t>$90.52</w:t>
            </w:r>
          </w:p>
        </w:tc>
        <w:tc>
          <w:tcPr>
            <w:tcW w:type="dxa" w:w="1234"/>
          </w:tcPr>
          <w:p>
            <w:r>
              <w:t>Low utilization (CPU: 8.2%, Connections: 2)</w:t>
            </w:r>
          </w:p>
        </w:tc>
      </w:tr>
    </w:tbl>
    <w:p/>
    <w:p>
      <w:pPr>
        <w:pStyle w:val="Heading1"/>
      </w:pPr>
      <w:r>
        <w:t>Lambda Function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FFF0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Current Memory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Avg Duration (ms)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Current Cost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New Cost</w:t>
            </w:r>
          </w:p>
        </w:tc>
        <w:tc>
          <w:tcPr>
            <w:tcW w:type="dxa" w:w="1234"/>
            <w:shd w:fill="FFFF00"/>
          </w:tcPr>
          <w:p>
            <w:r>
              <w:rPr>
                <w:b/>
              </w:rPr>
              <w:t>Monthly Savings</w:t>
            </w:r>
          </w:p>
        </w:tc>
      </w:tr>
      <w:tr>
        <w:tc>
          <w:tcPr>
            <w:tcW w:type="dxa" w:w="1234"/>
          </w:tcPr>
          <w:p>
            <w:r>
              <w:t>data-processor</w:t>
            </w:r>
          </w:p>
        </w:tc>
        <w:tc>
          <w:tcPr>
            <w:tcW w:type="dxa" w:w="1234"/>
          </w:tcPr>
          <w:p>
            <w:r>
              <w:t>1024 MB</w:t>
            </w:r>
          </w:p>
        </w:tc>
        <w:tc>
          <w:tcPr>
            <w:tcW w:type="dxa" w:w="1234"/>
          </w:tcPr>
          <w:p>
            <w:r>
              <w:t>512 MB</w:t>
            </w:r>
          </w:p>
        </w:tc>
        <w:tc>
          <w:tcPr>
            <w:tcW w:type="dxa" w:w="1234"/>
          </w:tcPr>
          <w:p>
            <w:r>
              <w:t>450</w:t>
            </w:r>
          </w:p>
        </w:tc>
        <w:tc>
          <w:tcPr>
            <w:tcW w:type="dxa" w:w="1234"/>
          </w:tcPr>
          <w:p>
            <w:r>
              <w:t>$8.50</w:t>
            </w:r>
          </w:p>
        </w:tc>
        <w:tc>
          <w:tcPr>
            <w:tcW w:type="dxa" w:w="1234"/>
          </w:tcPr>
          <w:p>
            <w:r>
              <w:t>$4.50</w:t>
            </w:r>
          </w:p>
        </w:tc>
        <w:tc>
          <w:tcPr>
            <w:tcW w:type="dxa" w:w="1234"/>
          </w:tcPr>
          <w:p>
            <w:r>
              <w:t>$4.00</w:t>
            </w:r>
          </w:p>
        </w:tc>
      </w:tr>
    </w:tbl>
    <w:p/>
    <w:p>
      <w:pPr>
        <w:pStyle w:val="Heading1"/>
      </w:pPr>
      <w:r>
        <w:t>Elastic IP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2160"/>
            <w:shd w:fill="FFFF0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fill="FFFF0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160"/>
            <w:shd w:fill="FFFF0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54.123.45.67</w:t>
            </w:r>
          </w:p>
        </w:tc>
        <w:tc>
          <w:tcPr>
            <w:tcW w:type="dxa" w:w="2160"/>
          </w:tcPr>
          <w:p>
            <w:r>
              <w:t>Unattached</w:t>
            </w:r>
          </w:p>
        </w:tc>
        <w:tc>
          <w:tcPr>
            <w:tcW w:type="dxa" w:w="2160"/>
          </w:tcPr>
          <w:p>
            <w:r>
              <w:t>$3.60</w:t>
            </w:r>
          </w:p>
        </w:tc>
        <w:tc>
          <w:tcPr>
            <w:tcW w:type="dxa" w:w="2160"/>
          </w:tcPr>
          <w:p>
            <w:r>
              <w:t>Release if not needed</w:t>
            </w:r>
          </w:p>
        </w:tc>
      </w:tr>
    </w:tbl>
    <w:p/>
    <w:p>
      <w:pPr>
        <w:pStyle w:val="Heading1"/>
      </w:pPr>
      <w:r>
        <w:t>Implementation Notes</w:t>
      </w:r>
    </w:p>
    <w:p>
      <w:r>
        <w:t>• High confidence recommendations are based on AWS Compute Optimizer ML analysis</w:t>
      </w:r>
    </w:p>
    <w:p>
      <w:r>
        <w:t>• Medium confidence recommendations are based on 14-day CloudWatch metrics</w:t>
      </w:r>
    </w:p>
    <w:p>
      <w:r>
        <w:t>• Test changes in non-production environments first</w:t>
      </w:r>
    </w:p>
    <w:p>
      <w:r>
        <w:t>• Consider reserved instances and savings plans before making changes</w:t>
      </w:r>
    </w:p>
    <w:p>
      <w:r>
        <w:t>• Monitor performance after implementing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