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Investor Profile — полный аудит и чек-ап</w:t>
      </w:r>
    </w:p>
    <w:p>
      <w:pPr>
        <w:jc w:val="center"/>
      </w:pPr>
      <w:r>
        <w:rPr>
          <w:i/>
          <w:sz w:val="20"/>
        </w:rPr>
        <w:t>Рабочий аналитический документ для дальнейшей разработки IPS и инвестиционной системы</w:t>
      </w:r>
    </w:p>
    <w:p>
      <w:pPr>
        <w:pStyle w:val="Heading1"/>
      </w:pPr>
      <w:r>
        <w:t>Executive Summary</w:t>
      </w:r>
    </w:p>
    <w:p>
      <w:r>
        <w:t>Предварительный профиль: Aggressive Growth / Active Allocator. Инвестор ориентирован на пожизненное накопление капитала, высокий рост, активную аллокацию и со временем — профессиональное управление капиталом/создание фонда. Психологическая готовность переносить волатильность высокая, однако текущая финансовая способность переносить риск заметно ниже из-за отсутствия emergency reserve и наличия долговых обязательств.</w:t>
      </w:r>
    </w:p>
    <w:p>
      <w:r>
        <w:t>Ключевая идея профиля: не избегать волатильности, а избегать необратимой потери капитала и потери способности продолжать инвестировать.</w:t>
      </w:r>
    </w:p>
    <w:p>
      <w:pPr>
        <w:pStyle w:val="Heading1"/>
      </w:pPr>
      <w:r>
        <w:t>Исходные цели</w:t>
      </w:r>
    </w:p>
    <w:p>
      <w:r>
        <w:t>• Основная цель: создать капитал, способный генерировать пассивный доход.</w:t>
        <w:br/>
        <w:t>• Первый крупный ориентир: $100 000.</w:t>
        <w:br/>
        <w:t>• Срок $100 000: 5 лет, но пользователь определяет его как амбициозный benchmark, а не обязательный дедлайн.</w:t>
        <w:br/>
        <w:t>• Долгосрочный горизонт: пожизненный; капитал не планируется выводить.</w:t>
        <w:br/>
        <w:t>• Профессиональная цель: перейти от частного инвестирования к профессиональному управлению капиталом и потенциально создать инвестиционный фонд.</w:t>
        <w:br/>
        <w:t>• Предпочтительная модель: 70% долгосрочного портфеля / 30% активного управления; trading — отдельный риск-бюджет максимум 10%.</w:t>
      </w:r>
    </w:p>
    <w:p>
      <w:pPr>
        <w:pStyle w:val="Heading1"/>
      </w:pPr>
      <w:r>
        <w:t>Risk Profile</w:t>
      </w:r>
    </w:p>
    <w:p>
      <w:r>
        <w:t>Ориентировочные оценки, а не стандартизированный психометрический результат:</w:t>
        <w:br/>
        <w:t>• Risk Willingness: высокая, ориентировочно 80–85/100.</w:t>
        <w:br/>
        <w:t>• Risk Capacity: на текущем этапе низкая/средняя, ориентировочно 35–45/100 до создания резерва и уточнения долговой нагрузки.</w:t>
        <w:br/>
        <w:t>• Рабочая психологически приемлемая просадка: ориентировочно -30–40%.</w:t>
        <w:br/>
        <w:t>• Декларируемая экстремальная переносимость: -60%+.</w:t>
        <w:br/>
        <w:t>• Паническая склонность к продаже: низкая.</w:t>
        <w:br/>
        <w:t>• Склонность к контрциклическим покупкам: высокая.</w:t>
        <w:br/>
        <w:t>• Допустимый leverage по самооценке: 1.5–2× при контролируемом риске.</w:t>
        <w:br/>
        <w:t>• Инвестиционный горизонт: очень высокий / пожизненный.</w:t>
      </w:r>
    </w:p>
    <w:p>
      <w:r>
        <w:t>Критическое расхождение: декларируемая переносимость -60%+ не должна автоматически становиться допустимым Max Drawdown IPS. При портфеле $100k потеря $50k уже воспринимается как психологически тяжёлая. Поэтому лимит портфельного риска должен определяться не только анкетой, но и реальными данными поведения на крупном капитале.</w:t>
      </w:r>
    </w:p>
    <w:p>
      <w:pPr>
        <w:pStyle w:val="Heading1"/>
      </w:pPr>
      <w:r>
        <w:t>Поведенческий аудит</w:t>
      </w:r>
    </w:p>
    <w:p>
      <w:r>
        <w:t>Сильные стороны:</w:t>
        <w:br/>
        <w:t>• готовность не продавать автоматически в панике;</w:t>
        <w:br/>
        <w:t>• способность докупать по плану;</w:t>
        <w:br/>
        <w:t>• понимание, что сильное падение отдельного актива требует повторной проверки тезиса;</w:t>
        <w:br/>
        <w:t>• ориентация на заранее сформированную систему;</w:t>
        <w:br/>
        <w:t>• готовность закрыть позицию с крупным убытком, если система требует этого;</w:t>
        <w:br/>
        <w:t>• понимание необходимости сохранять будущую покупательскую способность.</w:t>
      </w:r>
    </w:p>
    <w:p>
      <w:r>
        <w:t>Риски поведения:</w:t>
        <w:br/>
        <w:t>• скрытая установка «не фиксировать убыток» — пользователь прямо отметил, что вариант A остаётся «в голове»;</w:t>
        <w:br/>
        <w:t>• высокая чувствительность к отставанию от benchmark. Отставание от S&amp;P 500 беспокоит сильнее небольшого абсолютного убытка;</w:t>
        <w:br/>
        <w:t>• возможный FOMO и style drift при длительном отставании стратегии;</w:t>
        <w:br/>
        <w:t>• принцип «чем сильнее упало — тем сильнее покупаю» опасен без условия сохранения фундаментального тезиса;</w:t>
        <w:br/>
        <w:t>• ежедневное вовлечение в рынок повышает риск overtrading, хотя заявленная структура предполагает 70% long-term.</w:t>
      </w:r>
    </w:p>
    <w:p>
      <w:pPr>
        <w:pStyle w:val="Heading1"/>
      </w:pPr>
      <w:r>
        <w:t>Финансовая устойчивость</w:t>
      </w:r>
    </w:p>
    <w:p>
      <w:r>
        <w:t>Текущий чистый доход: около 140 000 ₽/мес.</w:t>
        <w:br/>
        <w:t>Заявленные обязательные расходы: 80 000 ₽/мес.</w:t>
        <w:br/>
        <w:t>Ипотека: 50 000 ₽/мес.</w:t>
        <w:br/>
        <w:t>Также указаны кредит 25 000 ₽, рассрочка/байк 10 000 ₽ и коммунальные 5 000 ₽. Здесь есть арифметическая/семантическая несогласованность: перечисленные платежи уже могут превышать заявленные общие расходы. Перед расчётом свободного денежного потока требуется уточнить остатки долгов и реальные ежемесячные платежи.</w:t>
      </w:r>
    </w:p>
    <w:p>
      <w:r>
        <w:t>Emergency reserve: 0 месяцев.</w:t>
        <w:br/>
        <w:t>Цель emergency reserve: 3 месяца.</w:t>
        <w:br/>
        <w:t>Зависимость текущей жизни от портфеля: 0%.</w:t>
        <w:br/>
        <w:t>Потребность изымать инвестиционный капитал в ближайшие 3 года: заявлено 0%.</w:t>
      </w:r>
    </w:p>
    <w:p>
      <w:r>
        <w:t>Главный риск сегодня — не рыночная волатильность, а отсутствие финансовой подушки. При потере активного дохода инвестор сразу может оказаться вынужден финансировать жизнь из инвестиций. Это превращает временную просадку в потенциально вынужденную фиксацию убытка.</w:t>
      </w:r>
    </w:p>
    <w:p>
      <w:pPr>
        <w:pStyle w:val="Heading1"/>
      </w:pPr>
      <w:r>
        <w:t>Разделение резервов</w:t>
      </w:r>
    </w:p>
    <w:p>
      <w:r>
        <w:t>Необходимо формально разделить два понятия:</w:t>
      </w:r>
    </w:p>
    <w:p>
      <w:r>
        <w:t>1. Emergency Reserve — деньги на жизнь и обязательства. Они не используются для покупки рыночных просадок.</w:t>
        <w:br/>
        <w:t>2. Investment / Opportunity Reserve — 10–30% ликвидности внутри инвестиционной системы, предназначенные для ребалансировки и покупки привлекательных активов.</w:t>
      </w:r>
    </w:p>
    <w:p>
      <w:r>
        <w:t>Смешивание этих резервов создаёт ложную покупательскую способность и увеличивает риск вынужденной продажи.</w:t>
      </w:r>
    </w:p>
    <w:p>
      <w:pPr>
        <w:pStyle w:val="Heading1"/>
      </w:pPr>
      <w:r>
        <w:t>Аллокация и концентрация</w:t>
      </w:r>
    </w:p>
    <w:p>
      <w:r>
        <w:t>Желаемые классы активов: crypto, акции, золото/commodities, недвижимость, DeFi.</w:t>
        <w:br/>
        <w:t>Crypto: 50–75% на ранней стадии с намерением снижать долю по мере роста капитала.</w:t>
        <w:br/>
        <w:t>Один актив: допускается концентрация 30–50% при высокой убеждённости.</w:t>
        <w:br/>
        <w:t>Один высокорисковый актив: пользователь допускает 30%+.</w:t>
        <w:br/>
        <w:t>Ликвидный investment reserve: 10–30% в зависимости от рыночной и макроэкономической фазы.</w:t>
      </w:r>
    </w:p>
    <w:p>
      <w:r>
        <w:t>Главное предостережение: комбинация crypto 50–75% + отдельная позиция 30%+ + leverage 1.5–2× способна нарушить основной принцип «никогда не выйти из игры». Эти параметры нельзя разрешать одновременно без отдельного risk budget, лимита потерь и расчёта корреляций.</w:t>
      </w:r>
    </w:p>
    <w:p>
      <w:pPr>
        <w:pStyle w:val="Heading1"/>
      </w:pPr>
      <w:r>
        <w:t>Leverage</w:t>
      </w:r>
    </w:p>
    <w:p>
      <w:r>
        <w:t>Leverage не должен задаваться только множителем 1.5× или 2×. Для будущего IPS необходимо определять:</w:t>
        <w:br/>
        <w:t>• максимальную долю капитала под leveraged strategies;</w:t>
        <w:br/>
        <w:t>• максимально допустимый portfolio loss при неблагоприятном сценарии;</w:t>
        <w:br/>
        <w:t>• liquidation distance;</w:t>
        <w:br/>
        <w:t>• размер collateral buffer;</w:t>
        <w:br/>
        <w:t>• запрет cross-collateralization между стратегическим капиталом и trading;</w:t>
        <w:br/>
        <w:t>• максимальный риск на одну позицию;</w:t>
        <w:br/>
        <w:t>• условия полного отключения leverage.</w:t>
      </w:r>
    </w:p>
    <w:p>
      <w:r>
        <w:t>До появления emergency reserve и формализованного risk management leverage следует считать инструментом повышенного риска, не базовым способом ускорения достижения $100k.</w:t>
      </w:r>
    </w:p>
    <w:p>
      <w:pPr>
        <w:pStyle w:val="Heading1"/>
      </w:pPr>
      <w:r>
        <w:t>Цель $100k и математика накопления</w:t>
      </w:r>
    </w:p>
    <w:p>
      <w:r>
        <w:t>При стартовом инвестиционном капитале около $650 и первоначальном ежегодном пополнении 120 000 ₽ цель $100k за 5 лет не должна превращаться в требование к портфелю генерировать 30–40% ежегодно.</w:t>
      </w:r>
    </w:p>
    <w:p>
      <w:r>
        <w:t>Пользователь правильно выбрал альтернативный механизм: повышать активный доход, искать дополнительные источники заработка и увеличивать пополнения.</w:t>
      </w:r>
    </w:p>
    <w:p>
      <w:r>
        <w:t>Следует разделить:</w:t>
        <w:br/>
        <w:t>• Portfolio CAGR — доходность инвестиционной стратегии;</w:t>
        <w:br/>
        <w:t>• Net Contributions — новые внесения;</w:t>
        <w:br/>
        <w:t>• Total Capital Growth — рост капитала за счёт обоих факторов.</w:t>
      </w:r>
    </w:p>
    <w:p>
      <w:r>
        <w:t>30–40% ежегодного роста общего капитала на ранней стадии может происходить преимущественно благодаря взносам. Требовать стабильные 30–40% CAGR от портфеля создаёт стимул к чрезмерному риску.</w:t>
      </w:r>
    </w:p>
    <w:p>
      <w:pPr>
        <w:pStyle w:val="Heading1"/>
      </w:pPr>
      <w:r>
        <w:t>Предлагаемая архитектура</w:t>
      </w:r>
    </w:p>
    <w:p>
      <w:r>
        <w:t>LEVEL 0 — Financial Fortress</w:t>
        <w:br/>
        <w:t>Emergency reserve, карта долгов, стабильный свободный cash flow.</w:t>
      </w:r>
    </w:p>
    <w:p>
      <w:r>
        <w:t>LEVEL 1 — Accumulation</w:t>
        <w:br/>
        <w:t>От текущего капитала до $10k. Главный двигатель — рост активного дохода и взносов; инвестиционная доходность вторична относительно savings rate.</w:t>
      </w:r>
    </w:p>
    <w:p>
      <w:r>
        <w:t>LEVEL 2 — Compounding</w:t>
        <w:br/>
        <w:t>$10k → $100k. Совместная работа пополнений и доходности; формализация benchmark и risk budget.</w:t>
      </w:r>
    </w:p>
    <w:p>
      <w:r>
        <w:t>LEVEL 3 — Capital Management</w:t>
        <w:br/>
        <w:t>$100k → $1M. Снижение концентрации, более широкая диверсификация, недвижимость/commodities/акции, институциональные метрики риска.</w:t>
      </w:r>
    </w:p>
    <w:p>
      <w:r>
        <w:t>LEVEL 4 — Professional / Fund Track</w:t>
        <w:br/>
        <w:t>Формальный track record, benchmark, CAGR, Max Drawdown, volatility, Sharpe/Sortino, exposure, attribution, risk budgeting, операционная и юридическая структура.</w:t>
      </w:r>
    </w:p>
    <w:p>
      <w:pPr>
        <w:pStyle w:val="Heading1"/>
      </w:pPr>
      <w:r>
        <w:t>Навыки и зоны развития</w:t>
      </w:r>
    </w:p>
    <w:p>
      <w:r>
        <w:t>Самооценка:</w:t>
        <w:br/>
        <w:t>Crypto 8/10</w:t>
        <w:br/>
        <w:t>Акции 4/10</w:t>
        <w:br/>
        <w:t>Макроэкономика 4/10</w:t>
        <w:br/>
        <w:t>Фундаментальный анализ 7/10</w:t>
        <w:br/>
        <w:t>Технический анализ 6/10</w:t>
        <w:br/>
        <w:t>Risk management 5/10</w:t>
      </w:r>
    </w:p>
    <w:p>
      <w:r>
        <w:t>Главный образовательный приоритет — risk management. Это особенно важно из-за сочетания концентрации, crypto, DeFi и допуска leverage. Второй приоритет — акции и макроэкономика, поскольку заявленная цель предполагает постепенный переход от криптоцентричного портфеля к мультиактивному управлению.</w:t>
      </w:r>
    </w:p>
    <w:p>
      <w:pPr>
        <w:pStyle w:val="Heading1"/>
      </w:pPr>
      <w:r>
        <w:t>Ключевые предостережения</w:t>
      </w:r>
    </w:p>
    <w:p>
      <w:r>
        <w:t>1. Не путать падение цены с появлением value. Усреднение разрешено только после повторной проверки тезиса.</w:t>
        <w:br/>
        <w:t>2. Не использовать emergency reserve как dry powder.</w:t>
        <w:br/>
        <w:t>3. Не позволять leverage превращать временную волатильность в liquidation risk.</w:t>
        <w:br/>
        <w:t>4. Не разрешать одновременно максимальную концентрацию, максимальную crypto allocation и максимальный leverage.</w:t>
        <w:br/>
        <w:t>5. Не менять стратегию только из-за временного отставания от индекса.</w:t>
        <w:br/>
        <w:t>6. Не считать «никогда не продавать на просадке» универсальным правилом. Продажа необходима, если инвестиционный тезис сломан или риск превысил заранее установленный лимит.</w:t>
        <w:br/>
        <w:t>7. Не оценивать качество инвестора только доходностью. Процесс, drawdown, risk-adjusted return и соблюдение мандата важнее одного удачного года.</w:t>
        <w:br/>
        <w:t>8. Не ставить 30–40% CAGR обязательной целью. Это может разрушить дисциплину управления риском.</w:t>
        <w:br/>
        <w:t>9. Отделить trading capital от long-term capital.</w:t>
        <w:br/>
        <w:t>10. Перед масштабированием капитала сформировать письменный IPS и журнал решений.</w:t>
      </w:r>
    </w:p>
    <w:p>
      <w:pPr>
        <w:pStyle w:val="Heading1"/>
      </w:pPr>
      <w:r>
        <w:t>Что требуется уточнить</w:t>
      </w:r>
    </w:p>
    <w:p>
      <w:r>
        <w:t>До финального IPS необходимо уточнить:</w:t>
        <w:br/>
        <w:t>• точную структуру ежемесячных расходов;</w:t>
        <w:br/>
        <w:t>• остаток и ставку ипотеки;</w:t>
        <w:br/>
        <w:t>• остаток, ставку и ежемесячный платёж по кредиту;</w:t>
        <w:br/>
        <w:t>• условия рассрочки за байк;</w:t>
        <w:br/>
        <w:t>• рыночную стоимость и ликвидность земли в Крыму;</w:t>
        <w:br/>
        <w:t>• является ли $650 именно ликвидным портфелем, а не net worth;</w:t>
        <w:br/>
        <w:t>• валюту базового учёта портфеля;</w:t>
        <w:br/>
        <w:t>• конкретный benchmark для каждой части портфеля;</w:t>
        <w:br/>
        <w:t>• налоговую/юрисдикционную структуру;</w:t>
        <w:br/>
        <w:t>• допустимый максимальный portfolio drawdown как правило, а не психологическую оценку.</w:t>
      </w:r>
    </w:p>
    <w:p>
      <w:pPr>
        <w:pStyle w:val="Heading1"/>
      </w:pPr>
      <w:r>
        <w:t>Итоговый диагноз</w:t>
      </w:r>
    </w:p>
    <w:p>
      <w:r>
        <w:t>Инвестор находится на стадии раннего накопления капитала с высокой мотивацией, высокой терпимостью к рыночной волатильности и выраженной ориентацией на активное управление. Инвестиционная философия уже содержит полезное институциональное ядро: заранее определённая стратегия, фундаментальная проверка, сохранение ликвидности, контрциклическое распределение капитала и приоритет выживания.</w:t>
      </w:r>
    </w:p>
    <w:p>
      <w:r>
        <w:t>Главное несоответствие профиля — высокая готовность рисковать при низком текущем финансовом буфере. Следовательно, ближайшее улучшение инвестиционной системы должно происходить не через повышение доходности, а через повышение финансовой устойчивости и качества risk management.</w:t>
      </w:r>
    </w:p>
    <w:p>
      <w:r>
        <w:t>Рабочая формулировка типа:</w:t>
        <w:br/>
        <w:t>AGGRESSIVE GROWTH / ACTIVE ALLOCATOR</w:t>
        <w:br/>
        <w:t>с высокой Risk Willingness, ограниченной текущей Risk Capacity и пожизненным горизонтом.</w:t>
      </w:r>
    </w:p>
    <w:p>
      <w:r>
        <w:t>Основной принцип будущего IPS:</w:t>
        <w:br/>
        <w:t>«Принимать достаточно риска для долгосрочного роста капитала, но никогда не принимать такой риск, который способен лишить возможности продолжать инвестировать».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