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 of Power BI project</w:t>
      </w:r>
    </w:p>
    <w:p w:rsid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Muskan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Chughani</w:t>
      </w:r>
    </w:p>
    <w:p w:rsid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73B1" w:rsidRP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 and Insights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Acceptance and Purchases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chart shows the sum of campaign acceptances for different campaigns (AcceptedCmp1, AcceptedCmp2, AcceptedCmp3).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The number of acceptances for each campaign appears relatively consistent, suggesting similar customer engagement across these campaigns.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Total Purchases by Number of Kids and Teens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plot visualizes the relationship between the total number of kids/teens in a household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TotalKidsTeens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 and the total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TotalPurchases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There is no clear pattern indicating that the number of kids or teens directly affects the total purchases, as the data points are scattered without a discernible trend.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Sum of Different Purchase Types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chart shows the sum of various types of purchases: catalog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NumCatalogPurchases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deal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NumDealsPurchases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store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NumStorePurchases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and web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NumWebPurchases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Store purchases appear to be the highest, followed by web and catalog purchases, indicating a preference for in-person shopping among customers.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Web Visits and Web Purchases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chart shows the proportion of web visits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NumWebVisitsMonth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 to web purchases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NumWebPurchases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The majority of web interactions result in web purchases, indicating effective conversion from visits to purchases.</w:t>
      </w:r>
    </w:p>
    <w:p w:rsidR="002873B1" w:rsidRPr="002873B1" w:rsidRDefault="002873B1" w:rsidP="0028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Sum of Purchases by Product Categories</w:t>
      </w:r>
    </w:p>
    <w:p w:rsidR="002873B1" w:rsidRPr="002873B1" w:rsidRDefault="002873B1" w:rsidP="0028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2873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This chart shows the sum of purchases for different product categories: fish products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MntFishProducts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fruits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MntFruits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gold products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MntGoldProds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), meat products (</w:t>
      </w:r>
      <w:proofErr w:type="spellStart"/>
      <w:r w:rsidRPr="002873B1">
        <w:rPr>
          <w:rFonts w:ascii="Courier New" w:eastAsia="Times New Roman" w:hAnsi="Courier New" w:cs="Courier New"/>
          <w:sz w:val="20"/>
          <w:szCs w:val="20"/>
        </w:rPr>
        <w:t>MntMeatProducts</w:t>
      </w:r>
      <w:proofErr w:type="spellEnd"/>
      <w:r w:rsidRPr="002873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873B1" w:rsidRPr="002873B1" w:rsidRDefault="002873B1" w:rsidP="002873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Insight: Meat products have the highest purchase amount, followed by fish products, suggesting a higher customer preference for these categories.</w:t>
      </w:r>
    </w:p>
    <w:p w:rsidR="002873B1" w:rsidRPr="002873B1" w:rsidRDefault="002873B1" w:rsidP="00287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Summary</w:t>
      </w:r>
    </w:p>
    <w:p w:rsidR="002873B1" w:rsidRPr="002873B1" w:rsidRDefault="002873B1" w:rsidP="0028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The Marketing Campaign Dashboard provides valuable insights into customer behaviors and preferences across various dimensions. The key findings are:</w:t>
      </w:r>
    </w:p>
    <w:p w:rsidR="002873B1" w:rsidRP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Campaign engagement is consistent across different campaigns.</w:t>
      </w:r>
    </w:p>
    <w:p w:rsidR="002873B1" w:rsidRP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There is no significant correlation between the number of kids/teens in a household and total purchases.</w:t>
      </w:r>
    </w:p>
    <w:p w:rsidR="002873B1" w:rsidRP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Store purchases are the most common, followed by web and catalog purchases.</w:t>
      </w:r>
    </w:p>
    <w:p w:rsidR="002873B1" w:rsidRP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A high conversion rate from web visits to web purchases.</w:t>
      </w:r>
    </w:p>
    <w:p w:rsidR="002873B1" w:rsidRDefault="002873B1" w:rsidP="0028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B1">
        <w:rPr>
          <w:rFonts w:ascii="Times New Roman" w:eastAsia="Times New Roman" w:hAnsi="Times New Roman" w:cs="Times New Roman"/>
          <w:sz w:val="24"/>
          <w:szCs w:val="24"/>
        </w:rPr>
        <w:t>Meat products are the most popular, followed by fish products.</w:t>
      </w:r>
    </w:p>
    <w:p w:rsidR="00D55EC4" w:rsidRPr="002873B1" w:rsidRDefault="00091956" w:rsidP="00D5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53AF7" wp14:editId="7ED7ED3A">
            <wp:extent cx="5943600" cy="3992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661" w:rsidRDefault="006E6661"/>
    <w:sectPr w:rsidR="006E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52C"/>
    <w:multiLevelType w:val="multilevel"/>
    <w:tmpl w:val="4104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F2CAB"/>
    <w:multiLevelType w:val="multilevel"/>
    <w:tmpl w:val="99B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27"/>
    <w:rsid w:val="00091956"/>
    <w:rsid w:val="002873B1"/>
    <w:rsid w:val="006E6661"/>
    <w:rsid w:val="00873518"/>
    <w:rsid w:val="00D55EC4"/>
    <w:rsid w:val="00E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F712"/>
  <w15:chartTrackingRefBased/>
  <w15:docId w15:val="{8E2AE8DA-C15B-47BB-9845-712ED9B7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73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73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7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7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3</cp:revision>
  <dcterms:created xsi:type="dcterms:W3CDTF">2024-08-03T19:47:00Z</dcterms:created>
  <dcterms:modified xsi:type="dcterms:W3CDTF">2024-08-07T09:00:00Z</dcterms:modified>
</cp:coreProperties>
</file>