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FedScreen — Project Proposal</w:t>
      </w:r>
    </w:p>
    <w:p>
      <w:pPr/>
      <w:r>
        <w:t xml:space="preserve">Oct 17, 2026 · @syed</w:t>
      </w:r>
    </w:p>
    <w:p>
      <w:pPr>
        <w:pStyle w:val="Heading2"/>
      </w:pPr>
      <w:r>
        <w:t xml:space="preserve">Summary</w:t>
      </w:r>
    </w:p>
    <w:p>
      <w:pPr/>
      <w:r>
        <w:rPr>
          <w:b/>
        </w:rPr>
        <w:t xml:space="preserve">FedScreen is one lightweight AI model that helps screen blood-cell images for malaria, anemia and leukemia, and is built so clinics can improve it together without ever sharing patient images.</w:t>
      </w:r>
      <w:r>
        <w:t xml:space="preserve"> On held-out, patient-disjoint test sets it reaches macro-F1 of 0.967 for malaria, 0.835 for anemia and 0.892 for leukemia (centralized; 0.815 under federated training), and a working clinician-facing app already runs on an ordinary CPU in about 29 ms per image. We are asking for support to move from a validated prototype to a small, supervised pilot at primary health centres (PHCs).</w:t>
      </w:r>
    </w:p>
    <w:p>
      <w:pPr>
        <w:pStyle w:val="Heading2"/>
      </w:pPr>
      <w:r>
        <w:t xml:space="preserve">The problem we want to ease</w:t>
      </w:r>
    </w:p>
    <w:p>
      <w:pPr/>
      <w:r>
        <w:t xml:space="preserve">In many primary health centres, a blood smear is read by one overstretched technician, or sent away and waited on for days. Three things make it hard to fix with AI: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Many diseases, few resources.</w:t>
      </w:r>
      <w:r>
        <w:t xml:space="preserve"> Separate models for each disease are costly to run and maintain on clinic hardware.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Privacy.</w:t>
      </w:r>
      <w:r>
        <w:t xml:space="preserve"> Patient images should not leave the clinic, so a single central dataset is often not possible.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Trust.</w:t>
      </w:r>
      <w:r>
        <w:t xml:space="preserve"> Models that look excellent in a lab can quietly fail on a new clinic's stain and scanner, and clinicians need to see </w:t>
      </w:r>
      <w:r>
        <w:rPr>
          <w:i/>
        </w:rPr>
        <w:t xml:space="preserve">why</w:t>
      </w:r>
      <w:r>
        <w:t xml:space="preserve"> a result was given.</w:t>
      </w:r>
    </w:p>
    <w:p>
      <w:pPr>
        <w:pStyle w:val="Heading2"/>
      </w:pPr>
      <w:r>
        <w:t xml:space="preserve">Our approach</w:t>
      </w:r>
    </w:p>
    <w:p>
      <w:pPr/>
      <w:r>
        <w:t xml:space="preserve">FedScreen trains </w:t>
      </w:r>
      <w:r>
        <w:rPr>
          <w:b/>
        </w:rPr>
        <w:t xml:space="preserve">one shared ConvNeXt-Tiny backbone (28.6 M parameters) with three small attention heads</w:t>
      </w:r>
      <w:r>
        <w:t xml:space="preserve">, one per disease. A router first recognises the specimen type, so only the matching head runs.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Clean, leakage-safe data.</w:t>
      </w:r>
      <w:r>
        <w:t xml:space="preserve"> Three public datasets (about 76,000 cell images) split by patient, de-duplicated by image hash, and tested on an unseen laboratory for leukemia.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Specialist teachers.</w:t>
      </w:r>
      <w:r>
        <w:t xml:space="preserve"> One model per disease is trained first, with stain-robust augmentation.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Joint model.</w:t>
      </w:r>
      <w:r>
        <w:t xml:space="preserve"> The shared model learns from all three through uncertainty-weighted loss and knowledge distillation, so no disease drowns out the others.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Federated training.</w:t>
      </w:r>
      <w:r>
        <w:t xml:space="preserve"> Clinics train locally and share only model updates (FedProx), never images.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Edge app.</w:t>
      </w:r>
      <w:r>
        <w:t xml:space="preserve"> INT8 compression, heat-map explanations and a confidence gate that refers uncertain cases to a pathologist.</w:t>
      </w:r>
    </w:p>
    <w:p>
      <w:pPr>
        <w:pStyle w:val="Heading2"/>
      </w:pPr>
      <w:r>
        <w:t xml:space="preserve">What exists today</w:t>
      </w:r>
    </w:p>
    <w:p>
      <w:pPr/>
      <w:r>
        <w:t xml:space="preserve">Results on held-out, patient-disjoint test data (leukemia: an unseen lab). The federated run simulated five virtual health centres.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72"/>
        <w:gridCol w:w="1779"/>
        <w:gridCol w:w="791"/>
        <w:gridCol w:w="1620"/>
        <w:gridCol w:w="3898"/>
      </w:tblGrid>
      <w:tr>
        <w:trPr>
          <w:tblHeader/>
        </w:trPr>
        <w:tc>
          <w:tcPr>
            <w:tcW w:w="1272" w:type="dxa"/>
            <w:shd w:val="clear" w:color="auto" w:fill="F2F2F2"/>
          </w:tcPr>
          <w:p>
            <w:pPr/>
            <w:r>
              <w:t xml:space="preserve">Disease</w:t>
            </w:r>
          </w:p>
        </w:tc>
        <w:tc>
          <w:tcPr>
            <w:tcW w:w="1779" w:type="dxa"/>
            <w:shd w:val="clear" w:color="auto" w:fill="F2F2F2"/>
          </w:tcPr>
          <w:p>
            <w:pPr/>
            <w:r>
              <w:t xml:space="preserve">Centralized F1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AUC</w:t>
            </w:r>
          </w:p>
        </w:tc>
        <w:tc>
          <w:tcPr>
            <w:tcW w:w="1620" w:type="dxa"/>
            <w:shd w:val="clear" w:color="auto" w:fill="F2F2F2"/>
          </w:tcPr>
          <w:p>
            <w:pPr/>
            <w:r>
              <w:t xml:space="preserve">Federated F1</w:t>
            </w:r>
          </w:p>
        </w:tc>
        <w:tc>
          <w:tcPr>
            <w:tcW w:w="3898" w:type="dxa"/>
            <w:shd w:val="clear" w:color="auto" w:fill="F2F2F2"/>
          </w:tcPr>
          <w:p>
            <w:pPr/>
            <w:r>
              <w:t xml:space="preserve">What we learned</w:t>
            </w:r>
          </w:p>
        </w:tc>
      </w:tr>
      <w:tr>
        <w:tc>
          <w:tcPr>
            <w:tcW w:w="1272" w:type="dxa"/>
          </w:tcPr>
          <w:p>
            <w:pPr/>
            <w:r>
              <w:t xml:space="preserve">Malaria</w:t>
            </w:r>
          </w:p>
        </w:tc>
        <w:tc>
          <w:tcPr>
            <w:tcW w:w="1779" w:type="dxa"/>
          </w:tcPr>
          <w:p>
            <w:pPr/>
            <w:r>
              <w:t xml:space="preserve">0.967</w:t>
            </w:r>
          </w:p>
        </w:tc>
        <w:tc>
          <w:tcPr>
            <w:tcW w:w="791" w:type="dxa"/>
          </w:tcPr>
          <w:p>
            <w:pPr/>
            <w:r>
              <w:t xml:space="preserve">0.993</w:t>
            </w:r>
          </w:p>
        </w:tc>
        <w:tc>
          <w:tcPr>
            <w:tcW w:w="1620" w:type="dxa"/>
          </w:tcPr>
          <w:p>
            <w:pPr/>
            <w:r>
              <w:t xml:space="preserve">0.967</w:t>
            </w:r>
          </w:p>
        </w:tc>
        <w:tc>
          <w:tcPr>
            <w:tcW w:w="3898" w:type="dxa"/>
          </w:tcPr>
          <w:p>
            <w:pPr/>
            <w:r>
              <w:t xml:space="preserve">Federation cost nothing</w:t>
            </w:r>
          </w:p>
        </w:tc>
      </w:tr>
      <w:tr>
        <w:tc>
          <w:tcPr>
            <w:tcW w:w="1272" w:type="dxa"/>
          </w:tcPr>
          <w:p>
            <w:pPr/>
            <w:r>
              <w:t xml:space="preserve">Anemia</w:t>
            </w:r>
          </w:p>
        </w:tc>
        <w:tc>
          <w:tcPr>
            <w:tcW w:w="1779" w:type="dxa"/>
          </w:tcPr>
          <w:p>
            <w:pPr/>
            <w:r>
              <w:t xml:space="preserve">0.835</w:t>
            </w:r>
          </w:p>
        </w:tc>
        <w:tc>
          <w:tcPr>
            <w:tcW w:w="791" w:type="dxa"/>
          </w:tcPr>
          <w:p>
            <w:pPr/>
            <w:r>
              <w:t xml:space="preserve">0.922</w:t>
            </w:r>
          </w:p>
        </w:tc>
        <w:tc>
          <w:tcPr>
            <w:tcW w:w="1620" w:type="dxa"/>
          </w:tcPr>
          <w:p>
            <w:pPr/>
            <w:r>
              <w:t xml:space="preserve">0.834</w:t>
            </w:r>
          </w:p>
        </w:tc>
        <w:tc>
          <w:tcPr>
            <w:tcW w:w="3898" w:type="dxa"/>
          </w:tcPr>
          <w:p>
            <w:pPr/>
            <w:r>
              <w:t xml:space="preserve">Hardest task; sharing one backbone cost 0.028 F1 versus its specialist</w:t>
            </w:r>
          </w:p>
        </w:tc>
      </w:tr>
      <w:tr>
        <w:tc>
          <w:tcPr>
            <w:tcW w:w="1272" w:type="dxa"/>
          </w:tcPr>
          <w:p>
            <w:pPr/>
            <w:r>
              <w:t xml:space="preserve">Leukemia</w:t>
            </w:r>
          </w:p>
        </w:tc>
        <w:tc>
          <w:tcPr>
            <w:tcW w:w="1779" w:type="dxa"/>
          </w:tcPr>
          <w:p>
            <w:pPr/>
            <w:r>
              <w:t xml:space="preserve">0.892</w:t>
            </w:r>
          </w:p>
        </w:tc>
        <w:tc>
          <w:tcPr>
            <w:tcW w:w="791" w:type="dxa"/>
          </w:tcPr>
          <w:p>
            <w:pPr/>
            <w:r>
              <w:t xml:space="preserve">0.950</w:t>
            </w:r>
          </w:p>
        </w:tc>
        <w:tc>
          <w:tcPr>
            <w:tcW w:w="1620" w:type="dxa"/>
          </w:tcPr>
          <w:p>
            <w:pPr/>
            <w:r>
              <w:t xml:space="preserve">0.815</w:t>
            </w:r>
          </w:p>
        </w:tc>
        <w:tc>
          <w:tcPr>
            <w:tcW w:w="3898" w:type="dxa"/>
          </w:tcPr>
          <w:p>
            <w:pPr/>
            <w:r>
              <w:t xml:space="preserve">Largest federated gap: 0.892 centralized (fixed 0.50 cut-off) vs 0.815 federated (FedProx, five virtual centres); to be re-checked at the same 0.50 threshold</w:t>
            </w:r>
          </w:p>
        </w:tc>
      </w:tr>
    </w:tbl>
    <w:p>
      <w:pPr/>
      <w:r>
        <w:rPr>
          <w:b/>
        </w:rPr>
        <w:t xml:space="preserve">Note on leukemia:</w:t>
      </w:r>
      <w:r>
        <w:t xml:space="preserve"> 0.892 is the centralized multi-task result at the fixed 0.50 cut-off (AUC 0.950). An earlier 0.575 figure came from an over-high validation-tuned threshold (0.783) and is discarded. 0.815 is the federated result under decentralized FedProx training across five virtual centres.</w:t>
      </w:r>
    </w:p>
    <w:p>
      <w:pPr/>
      <w:r>
        <w:t xml:space="preserve">The prototype app uploads an image, identifies the specimen, shows the verdict with a heat-map, and refers anything below 85% confidence to a pathologist. The model compresses from 114.6 MB to 35.2 MB and runs in 29 ms per image on CPU.</w:t>
      </w:r>
    </w:p>
    <w:p>
      <w:pPr>
        <w:pStyle w:val="Heading2"/>
      </w:pPr>
      <w:r>
        <w:t xml:space="preserve">Plan, honest limits and safe use</w:t>
      </w:r>
    </w:p>
    <w:p>
      <w:pPr/>
      <w:r>
        <w:t xml:space="preserve">FedScreen is a </w:t>
      </w:r>
      <w:r>
        <w:rPr>
          <w:b/>
        </w:rPr>
        <w:t xml:space="preserve">screening aid for trained staff, not a diagnostic device</w:t>
      </w:r>
      <w:r>
        <w:t xml:space="preserve">. Every positive or low-confidence result goes to a pathologist. Timelines and partners below are proposed and to be agreed.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20"/>
        <w:gridCol w:w="4249"/>
        <w:gridCol w:w="2691"/>
      </w:tblGrid>
      <w:tr>
        <w:trPr>
          <w:tblHeader/>
        </w:trPr>
        <w:tc>
          <w:tcPr>
            <w:tcW w:w="24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4249" w:type="dxa"/>
            <w:shd w:val="clear" w:color="auto" w:fill="F2F2F2"/>
          </w:tcPr>
          <w:p>
            <w:pPr/>
            <w:r>
              <w:t xml:space="preserve">Goal</w:t>
            </w:r>
          </w:p>
        </w:tc>
        <w:tc>
          <w:tcPr>
            <w:tcW w:w="2691" w:type="dxa"/>
            <w:shd w:val="clear" w:color="auto" w:fill="F2F2F2"/>
          </w:tcPr>
          <w:p>
            <w:pPr/>
            <w:r>
              <w:t xml:space="preserve">Done when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1. Close known gaps</w:t>
            </w:r>
          </w:p>
        </w:tc>
        <w:tc>
          <w:tcPr>
            <w:tcW w:w="4249" w:type="dxa"/>
          </w:tcPr>
          <w:p>
            <w:pPr/>
            <w:r>
              <w:t xml:space="preserve">Re-test federated leukemia at the fixed 0.50 threshold; shrink the model toward the 25 MB target; validate the router on unseen patients</w:t>
            </w:r>
          </w:p>
        </w:tc>
        <w:tc>
          <w:tcPr>
            <w:tcW w:w="2691" w:type="dxa"/>
          </w:tcPr>
          <w:p>
            <w:pPr/>
            <w:r>
              <w:t xml:space="preserve">Federated mean F1 drop is under 0.02; size target met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2. Real federation</w:t>
            </w:r>
          </w:p>
        </w:tc>
        <w:tc>
          <w:tcPr>
            <w:tcW w:w="4249" w:type="dxa"/>
          </w:tcPr>
          <w:p>
            <w:pPr/>
            <w:r>
              <w:t xml:space="preserve">Move from five simulated centres to two or three real clinic servers</w:t>
            </w:r>
          </w:p>
        </w:tc>
        <w:tc>
          <w:tcPr>
            <w:tcW w:w="2691" w:type="dxa"/>
          </w:tcPr>
          <w:p>
            <w:pPr/>
            <w:r>
              <w:t xml:space="preserve">Updates aggregate without raw images leaving any site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3. Supervised pilot</w:t>
            </w:r>
          </w:p>
        </w:tc>
        <w:tc>
          <w:tcPr>
            <w:tcW w:w="4249" w:type="dxa"/>
          </w:tcPr>
          <w:p>
            <w:pPr/>
            <w:r>
              <w:t xml:space="preserve">Run the app beside routine smear reading, with pathologist sign-off and ethics approval</w:t>
            </w:r>
          </w:p>
        </w:tc>
        <w:tc>
          <w:tcPr>
            <w:tcW w:w="2691" w:type="dxa"/>
          </w:tcPr>
          <w:p>
            <w:pPr/>
            <w:r>
              <w:t xml:space="preserve">Agreement with pathologists measured on real, local slides</w:t>
            </w:r>
          </w:p>
        </w:tc>
      </w:tr>
    </w:tbl>
    <w:p>
      <w:pPr/>
      <w:r>
        <w:rPr>
          <w:b/>
        </w:rPr>
        <w:t xml:space="preserve">Limits we are open about:</w:t>
      </w:r>
      <w:r>
        <w:t xml:space="preserve"> the 25 MB size target is not yet met (35.2 MB); the leukemia federated result (0.815) is indicative until re-evaluated at the fixed 0.50 threshold; the specimen router scored 100% on a random split that was not patient-disjoint; all data so far is public, so performance at a new clinic is unproven. Early mistakes (data leakage, a failed threshold, collapsed multi-task training) were found, documented and fixed, and that same discipline will guide the pilot.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FedScreen — Project Proposal</dc:title>
  <dc:description>Claude Docs node/2ea986a2-f4bb@4 docx-w7</dc:description>
  <cp:revision>4</cp:revision>
</cp:coreProperties>
</file>