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CYBERSECURITY ANALYST INTERNSHIP</w:t>
      </w:r>
    </w:p>
    <w:p>
      <w:pPr>
        <w:jc w:val="center"/>
      </w:pPr>
      <w:r>
        <w:rPr>
          <w:b/>
          <w:sz w:val="30"/>
        </w:rPr>
        <w:t>WEEK 1 TASK</w:t>
      </w:r>
    </w:p>
    <w:p>
      <w:pPr>
        <w:jc w:val="center"/>
      </w:pPr>
      <w:r>
        <w:rPr>
          <w:b/>
          <w:sz w:val="48"/>
        </w:rPr>
        <w:t>THREAT LANDSCAPE ANALYSIS</w:t>
      </w:r>
    </w:p>
    <w:p/>
    <w:p>
      <w:pPr>
        <w:jc w:val="center"/>
      </w:pPr>
      <w:r>
        <w:rPr>
          <w:i/>
        </w:rPr>
        <w:t>A structured analysis of current cybersecurity threats, common attack vectors, organizational impact, and defensive priorities</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rFonts w:ascii="Arial" w:hAnsi="Arial"/>
                <w:b/>
                <w:sz w:val="18"/>
              </w:rPr>
              <w:t>Report Detail</w:t>
            </w:r>
          </w:p>
        </w:tc>
        <w:tc>
          <w:tcPr>
            <w:tcW w:type="dxa" w:w="6480"/>
            <w:vAlign w:val="center"/>
            <w:shd w:fill="D9EAF7"/>
          </w:tcPr>
          <w:p>
            <w:r/>
            <w:r>
              <w:rPr>
                <w:rFonts w:ascii="Arial" w:hAnsi="Arial"/>
                <w:b/>
                <w:sz w:val="18"/>
              </w:rPr>
              <w:t>Information</w:t>
            </w:r>
          </w:p>
        </w:tc>
      </w:tr>
      <w:tr>
        <w:tc>
          <w:tcPr>
            <w:tcW w:type="dxa" w:w="2880"/>
            <w:vAlign w:val="center"/>
          </w:tcPr>
          <w:p>
            <w:r/>
            <w:r>
              <w:rPr>
                <w:rFonts w:ascii="Arial" w:hAnsi="Arial"/>
                <w:b w:val="0"/>
                <w:sz w:val="18"/>
              </w:rPr>
              <w:t>Internship Task</w:t>
            </w:r>
          </w:p>
        </w:tc>
        <w:tc>
          <w:tcPr>
            <w:tcW w:type="dxa" w:w="6480"/>
            <w:vAlign w:val="center"/>
          </w:tcPr>
          <w:p>
            <w:r/>
            <w:r>
              <w:rPr>
                <w:rFonts w:ascii="Arial" w:hAnsi="Arial"/>
                <w:b w:val="0"/>
                <w:sz w:val="18"/>
              </w:rPr>
              <w:t>Week 1 – Threat Landscape Analysis</w:t>
            </w:r>
          </w:p>
        </w:tc>
      </w:tr>
      <w:tr>
        <w:tc>
          <w:tcPr>
            <w:tcW w:type="dxa" w:w="2880"/>
            <w:vAlign w:val="center"/>
          </w:tcPr>
          <w:p>
            <w:r/>
            <w:r>
              <w:rPr>
                <w:rFonts w:ascii="Arial" w:hAnsi="Arial"/>
                <w:b w:val="0"/>
                <w:sz w:val="18"/>
              </w:rPr>
              <w:t>Prepared By</w:t>
            </w:r>
          </w:p>
        </w:tc>
        <w:tc>
          <w:tcPr>
            <w:tcW w:type="dxa" w:w="6480"/>
            <w:vAlign w:val="center"/>
          </w:tcPr>
          <w:p>
            <w:r/>
            <w:r>
              <w:rPr>
                <w:rFonts w:ascii="Arial" w:hAnsi="Arial"/>
                <w:b w:val="0"/>
                <w:sz w:val="18"/>
              </w:rPr>
              <w:t>Muskan Kumari</w:t>
            </w:r>
          </w:p>
        </w:tc>
      </w:tr>
      <w:tr>
        <w:tc>
          <w:tcPr>
            <w:tcW w:type="dxa" w:w="2880"/>
            <w:vAlign w:val="center"/>
          </w:tcPr>
          <w:p>
            <w:r/>
            <w:r>
              <w:rPr>
                <w:rFonts w:ascii="Arial" w:hAnsi="Arial"/>
                <w:b w:val="0"/>
                <w:sz w:val="18"/>
              </w:rPr>
              <w:t>Course / Program</w:t>
            </w:r>
          </w:p>
        </w:tc>
        <w:tc>
          <w:tcPr>
            <w:tcW w:type="dxa" w:w="6480"/>
            <w:vAlign w:val="center"/>
          </w:tcPr>
          <w:p>
            <w:r/>
            <w:r>
              <w:rPr>
                <w:rFonts w:ascii="Arial" w:hAnsi="Arial"/>
                <w:b w:val="0"/>
                <w:sz w:val="18"/>
              </w:rPr>
              <w:t>B.Tech CSE in Cyber Security — Rungta College of Engineering and Technology, Bhilai</w:t>
            </w:r>
          </w:p>
        </w:tc>
      </w:tr>
      <w:tr>
        <w:tc>
          <w:tcPr>
            <w:tcW w:type="dxa" w:w="2880"/>
            <w:vAlign w:val="center"/>
          </w:tcPr>
          <w:p>
            <w:r/>
            <w:r>
              <w:rPr>
                <w:rFonts w:ascii="Arial" w:hAnsi="Arial"/>
                <w:b w:val="0"/>
                <w:sz w:val="18"/>
              </w:rPr>
              <w:t>Role</w:t>
            </w:r>
          </w:p>
        </w:tc>
        <w:tc>
          <w:tcPr>
            <w:tcW w:type="dxa" w:w="6480"/>
            <w:vAlign w:val="center"/>
          </w:tcPr>
          <w:p>
            <w:r/>
            <w:r>
              <w:rPr>
                <w:rFonts w:ascii="Arial" w:hAnsi="Arial"/>
                <w:b w:val="0"/>
                <w:sz w:val="18"/>
              </w:rPr>
              <w:t>Cybersecurity Analyst Intern</w:t>
            </w:r>
          </w:p>
        </w:tc>
      </w:tr>
      <w:tr>
        <w:tc>
          <w:tcPr>
            <w:tcW w:type="dxa" w:w="2880"/>
            <w:vAlign w:val="center"/>
          </w:tcPr>
          <w:p>
            <w:r/>
            <w:r>
              <w:rPr>
                <w:rFonts w:ascii="Arial" w:hAnsi="Arial"/>
                <w:b w:val="0"/>
                <w:sz w:val="18"/>
              </w:rPr>
              <w:t>Reporting Date</w:t>
            </w:r>
          </w:p>
        </w:tc>
        <w:tc>
          <w:tcPr>
            <w:tcW w:type="dxa" w:w="6480"/>
            <w:vAlign w:val="center"/>
          </w:tcPr>
          <w:p>
            <w:r/>
            <w:r>
              <w:rPr>
                <w:rFonts w:ascii="Arial" w:hAnsi="Arial"/>
                <w:b w:val="0"/>
                <w:sz w:val="18"/>
              </w:rPr>
              <w:t>20 August 2026</w:t>
            </w:r>
          </w:p>
        </w:tc>
      </w:tr>
      <w:tr>
        <w:tc>
          <w:tcPr>
            <w:tcW w:type="dxa" w:w="2880"/>
            <w:vAlign w:val="center"/>
          </w:tcPr>
          <w:p>
            <w:r/>
            <w:r>
              <w:rPr>
                <w:rFonts w:ascii="Arial" w:hAnsi="Arial"/>
                <w:b w:val="0"/>
                <w:sz w:val="18"/>
              </w:rPr>
              <w:t>Research Window</w:t>
            </w:r>
          </w:p>
        </w:tc>
        <w:tc>
          <w:tcPr>
            <w:tcW w:type="dxa" w:w="6480"/>
            <w:vAlign w:val="center"/>
          </w:tcPr>
          <w:p>
            <w:r/>
            <w:r>
              <w:rPr>
                <w:rFonts w:ascii="Arial" w:hAnsi="Arial"/>
                <w:b w:val="0"/>
                <w:sz w:val="18"/>
              </w:rPr>
              <w:t>Primarily 2025–2026 threat intelligence and official guidance</w:t>
            </w:r>
          </w:p>
        </w:tc>
      </w:tr>
    </w:tbl>
    <w:p/>
    <w:p/>
    <w:p>
      <w:pPr>
        <w:jc w:val="center"/>
      </w:pPr>
      <w:r>
        <w:rPr>
          <w:b/>
        </w:rPr>
        <w:t>Confidential – Academic / Internship Submission</w:t>
      </w:r>
    </w:p>
    <w:p>
      <w:r>
        <w:br w:type="page"/>
      </w:r>
    </w:p>
    <w:p>
      <w:pPr>
        <w:pStyle w:val="Heading1"/>
      </w:pPr>
      <w:r>
        <w:t>Executive Summary</w:t>
      </w:r>
    </w:p>
    <w:p>
      <w:r>
        <w:t>The cybersecurity threat landscape in 2026 is characterized by faster exploitation of vulnerabilities, identity and credential attacks, ransomware and extortion, supply-chain compromise, cloud and SaaS abuse, social engineering, and the growing use of artificial intelligence (AI) by both attackers and defenders. The key lesson for a cybersecurity analyst is that advanced threats frequently succeed by exploiting basic weaknesses: unpatched internet-facing systems, weak authentication, excessive privileges, poor asset visibility, inadequate monitoring, and insufficient recovery preparation.</w:t>
      </w:r>
    </w:p>
    <w:p>
      <w:r>
        <w:t>Recent industry evidence reinforces this point. Verizon's 2026 Data Breach Investigations Report states that vulnerability exploitation became the leading initial access vector, appearing in 31% of breaches, while credential abuse fell to 13%. The same report notes that ransomware was present in 48% of breaches and that 15% of attack techniques in its dataset were supported by generative AI. IBM's 2026 X-Force Threat Intelligence Index reports a 44% year-over-year increase in attacks beginning with exploitation of public-facing applications, a 49% increase in active ransomware groups, and nearly fourfold growth in major supply-chain compromises over five years.</w:t>
      </w:r>
    </w:p>
    <w:p>
      <w:r>
        <w:t>For India, CERT-In reporting is especially relevant. CERT-In's India Ransomware Report 2024 highlights multi-faceted extortion, targeting of virtualized environments such as VMware ESXi, living-off-the-land techniques, and persistent gaps in access control, patch management, and monitoring. CERT-In also published a 2025–26 Digital Threat Report for the BFSI sector and reported a 2026 campaign distributing malicious VBScript attachments through compromised WhatsApp accounts.</w:t>
      </w:r>
    </w:p>
    <w:p>
      <w:r>
        <w:t>The recommended organizational strategy is risk-based and layered: maintain an accurate asset inventory, prioritize internet-facing and actively exploited vulnerabilities, enforce phishing-resistant MFA, protect privileged identities, segment critical systems, secure cloud and third-party dependencies, centralize logs, improve endpoint detection and response, maintain tested offline/immutable backups, conduct incident-response exercises, and continuously train users.</w:t>
      </w:r>
    </w:p>
    <w:p>
      <w:pPr>
        <w:pStyle w:val="Heading1"/>
      </w:pPr>
      <w:r>
        <w:t>1. Objectives of the Task</w:t>
      </w:r>
    </w:p>
    <w:p>
      <w:pPr>
        <w:pStyle w:val="ListBullet"/>
      </w:pPr>
      <w:r>
        <w:t>Analyze the current cybersecurity threat landscape using recent, credible threat-intelligence sources.</w:t>
      </w:r>
    </w:p>
    <w:p>
      <w:pPr>
        <w:pStyle w:val="ListBullet"/>
      </w:pPr>
      <w:r>
        <w:t>Identify major cyber threats affecting modern organizations.</w:t>
      </w:r>
    </w:p>
    <w:p>
      <w:pPr>
        <w:pStyle w:val="ListBullet"/>
      </w:pPr>
      <w:r>
        <w:t>Identify common attack vectors and explain how attackers obtain initial access.</w:t>
      </w:r>
    </w:p>
    <w:p>
      <w:pPr>
        <w:pStyle w:val="ListBullet"/>
      </w:pPr>
      <w:r>
        <w:t>Analyze the potential impact of attacks on confidentiality, integrity, and availability.</w:t>
      </w:r>
    </w:p>
    <w:p>
      <w:pPr>
        <w:pStyle w:val="ListBullet"/>
      </w:pPr>
      <w:r>
        <w:t>Evaluate how emerging technologies such as AI, cloud computing, and automation influence the threat landscape.</w:t>
      </w:r>
    </w:p>
    <w:p>
      <w:pPr>
        <w:pStyle w:val="ListBullet"/>
      </w:pPr>
      <w:r>
        <w:t>Recommend practical security controls that reduce organizational risk.</w:t>
      </w:r>
    </w:p>
    <w:p>
      <w:pPr>
        <w:pStyle w:val="ListBullet"/>
      </w:pPr>
      <w:r>
        <w:t>Present findings in a clear, evidence-based report suitable for an internship submission.</w:t>
      </w:r>
    </w:p>
    <w:p>
      <w:pPr>
        <w:pStyle w:val="Heading1"/>
      </w:pPr>
      <w:r>
        <w:t>2. Research Methodology</w:t>
      </w:r>
    </w:p>
    <w:p>
      <w:r>
        <w:t>The analysis uses a threat-centric approach. Evidence was gathered primarily from official or first-party sources including Verizon, IBM X-Force, ENISA, Google Cloud/Mandiant, CERT-In, and CISA. The research emphasizes findings published in 2025 and 2026 so that the report reflects the current environment rather than relying only on older textbook examples.</w:t>
      </w:r>
    </w:p>
    <w:p>
      <w:pPr>
        <w:pStyle w:val="ListNumber"/>
      </w:pPr>
      <w:r>
        <w:t>Define the threat landscape: identify major threat categories, actors, motivations, and affected assets.</w:t>
      </w:r>
    </w:p>
    <w:p>
      <w:pPr>
        <w:pStyle w:val="ListNumber"/>
      </w:pPr>
      <w:r>
        <w:t>Collect recent evidence: review 2025–2026 threat reports and official advisories.</w:t>
      </w:r>
    </w:p>
    <w:p>
      <w:pPr>
        <w:pStyle w:val="ListNumber"/>
      </w:pPr>
      <w:r>
        <w:t>Map attack vectors: examine how threats commonly enter organizations and move toward business impact.</w:t>
      </w:r>
    </w:p>
    <w:p>
      <w:pPr>
        <w:pStyle w:val="ListNumber"/>
      </w:pPr>
      <w:r>
        <w:t>Assess impact: evaluate effects on confidentiality, integrity, availability, finances, operations, reputation, and compliance.</w:t>
      </w:r>
    </w:p>
    <w:p>
      <w:pPr>
        <w:pStyle w:val="ListNumber"/>
      </w:pPr>
      <w:r>
        <w:t>Prioritize risk: combine likelihood and impact to classify threats as critical, high, medium, or lower priority.</w:t>
      </w:r>
    </w:p>
    <w:p>
      <w:pPr>
        <w:pStyle w:val="ListNumber"/>
      </w:pPr>
      <w:r>
        <w:t>Recommend controls: map the major risks to preventive, detective, responsive, and recovery measures.</w:t>
      </w:r>
    </w:p>
    <w:p>
      <w:pPr>
        <w:pStyle w:val="ListNumber"/>
      </w:pPr>
      <w:r>
        <w:t>Document sources: record source titles, publication dates, and links for verification.</w:t>
      </w:r>
    </w:p>
    <w:p>
      <w:pPr>
        <w:pStyle w:val="Heading1"/>
      </w:pPr>
      <w:r>
        <w:t>3. Current Cybersecurity Threat Landscape – 2026</w:t>
      </w:r>
    </w:p>
    <w:p>
      <w:r>
        <w:t>The 2026 threat environment is not defined by one single attack. Instead, multiple attack methods are converging. Attackers increasingly combine vulnerability exploitation, stolen credentials, social engineering, cloud access, legitimate administrative tools, and third-party relationships. This makes the boundary between a technical attack and a human-centered attack less distinct.</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AF7"/>
          </w:tcPr>
          <w:p>
            <w:r/>
            <w:r>
              <w:rPr>
                <w:rFonts w:ascii="Arial" w:hAnsi="Arial"/>
                <w:b/>
                <w:sz w:val="18"/>
              </w:rPr>
              <w:t>Threat Area</w:t>
            </w:r>
          </w:p>
        </w:tc>
        <w:tc>
          <w:tcPr>
            <w:tcW w:type="dxa" w:w="3888"/>
            <w:vAlign w:val="center"/>
            <w:shd w:fill="D9EAF7"/>
          </w:tcPr>
          <w:p>
            <w:r/>
            <w:r>
              <w:rPr>
                <w:rFonts w:ascii="Arial" w:hAnsi="Arial"/>
                <w:b/>
                <w:sz w:val="18"/>
              </w:rPr>
              <w:t>Current Trend</w:t>
            </w:r>
          </w:p>
        </w:tc>
        <w:tc>
          <w:tcPr>
            <w:tcW w:type="dxa" w:w="3312"/>
            <w:vAlign w:val="center"/>
            <w:shd w:fill="D9EAF7"/>
          </w:tcPr>
          <w:p>
            <w:r/>
            <w:r>
              <w:rPr>
                <w:rFonts w:ascii="Arial" w:hAnsi="Arial"/>
                <w:b/>
                <w:sz w:val="18"/>
              </w:rPr>
              <w:t>Why It Matters</w:t>
            </w:r>
          </w:p>
        </w:tc>
      </w:tr>
      <w:tr>
        <w:tc>
          <w:tcPr>
            <w:tcW w:type="dxa" w:w="2160"/>
            <w:vAlign w:val="center"/>
          </w:tcPr>
          <w:p>
            <w:r/>
            <w:r>
              <w:rPr>
                <w:rFonts w:ascii="Arial" w:hAnsi="Arial"/>
                <w:b w:val="0"/>
                <w:sz w:val="18"/>
              </w:rPr>
              <w:t>Vulnerability exploitation</w:t>
            </w:r>
          </w:p>
        </w:tc>
        <w:tc>
          <w:tcPr>
            <w:tcW w:type="dxa" w:w="3888"/>
            <w:vAlign w:val="center"/>
          </w:tcPr>
          <w:p>
            <w:r/>
            <w:r>
              <w:rPr>
                <w:rFonts w:ascii="Arial" w:hAnsi="Arial"/>
                <w:b w:val="0"/>
                <w:sz w:val="18"/>
              </w:rPr>
              <w:t>Leading initial access vector; rapid exploitation of exposed systems</w:t>
            </w:r>
          </w:p>
        </w:tc>
        <w:tc>
          <w:tcPr>
            <w:tcW w:type="dxa" w:w="3312"/>
            <w:vAlign w:val="center"/>
          </w:tcPr>
          <w:p>
            <w:r/>
            <w:r>
              <w:rPr>
                <w:rFonts w:ascii="Arial" w:hAnsi="Arial"/>
                <w:b w:val="0"/>
                <w:sz w:val="18"/>
              </w:rPr>
              <w:t>Internet-facing assets can be compromised before organizations complete patching.</w:t>
            </w:r>
          </w:p>
        </w:tc>
      </w:tr>
      <w:tr>
        <w:tc>
          <w:tcPr>
            <w:tcW w:type="dxa" w:w="2160"/>
            <w:vAlign w:val="center"/>
          </w:tcPr>
          <w:p>
            <w:r/>
            <w:r>
              <w:rPr>
                <w:rFonts w:ascii="Arial" w:hAnsi="Arial"/>
                <w:b w:val="0"/>
                <w:sz w:val="18"/>
              </w:rPr>
              <w:t>Ransomware &amp; extortion</w:t>
            </w:r>
          </w:p>
        </w:tc>
        <w:tc>
          <w:tcPr>
            <w:tcW w:type="dxa" w:w="3888"/>
            <w:vAlign w:val="center"/>
          </w:tcPr>
          <w:p>
            <w:r/>
            <w:r>
              <w:rPr>
                <w:rFonts w:ascii="Arial" w:hAnsi="Arial"/>
                <w:b w:val="0"/>
                <w:sz w:val="18"/>
              </w:rPr>
              <w:t>Fragmented groups and broader extortion ecosystem</w:t>
            </w:r>
          </w:p>
        </w:tc>
        <w:tc>
          <w:tcPr>
            <w:tcW w:type="dxa" w:w="3312"/>
            <w:vAlign w:val="center"/>
          </w:tcPr>
          <w:p>
            <w:r/>
            <w:r>
              <w:rPr>
                <w:rFonts w:ascii="Arial" w:hAnsi="Arial"/>
                <w:b w:val="0"/>
                <w:sz w:val="18"/>
              </w:rPr>
              <w:t>Can stop operations, expose data, and create financial and reputational damage.</w:t>
            </w:r>
          </w:p>
        </w:tc>
      </w:tr>
      <w:tr>
        <w:tc>
          <w:tcPr>
            <w:tcW w:type="dxa" w:w="2160"/>
            <w:vAlign w:val="center"/>
          </w:tcPr>
          <w:p>
            <w:r/>
            <w:r>
              <w:rPr>
                <w:rFonts w:ascii="Arial" w:hAnsi="Arial"/>
                <w:b w:val="0"/>
                <w:sz w:val="18"/>
              </w:rPr>
              <w:t>Credential &amp; identity attacks</w:t>
            </w:r>
          </w:p>
        </w:tc>
        <w:tc>
          <w:tcPr>
            <w:tcW w:type="dxa" w:w="3888"/>
            <w:vAlign w:val="center"/>
          </w:tcPr>
          <w:p>
            <w:r/>
            <w:r>
              <w:rPr>
                <w:rFonts w:ascii="Arial" w:hAnsi="Arial"/>
                <w:b w:val="0"/>
                <w:sz w:val="18"/>
              </w:rPr>
              <w:t>Stolen credentials, infostealers, session/token abuse</w:t>
            </w:r>
          </w:p>
        </w:tc>
        <w:tc>
          <w:tcPr>
            <w:tcW w:type="dxa" w:w="3312"/>
            <w:vAlign w:val="center"/>
          </w:tcPr>
          <w:p>
            <w:r/>
            <w:r>
              <w:rPr>
                <w:rFonts w:ascii="Arial" w:hAnsi="Arial"/>
                <w:b w:val="0"/>
                <w:sz w:val="18"/>
              </w:rPr>
              <w:t>A valid identity can bypass many perimeter controls and enable lateral movement.</w:t>
            </w:r>
          </w:p>
        </w:tc>
      </w:tr>
      <w:tr>
        <w:tc>
          <w:tcPr>
            <w:tcW w:type="dxa" w:w="2160"/>
            <w:vAlign w:val="center"/>
          </w:tcPr>
          <w:p>
            <w:r/>
            <w:r>
              <w:rPr>
                <w:rFonts w:ascii="Arial" w:hAnsi="Arial"/>
                <w:b w:val="0"/>
                <w:sz w:val="18"/>
              </w:rPr>
              <w:t>Phishing / vishing</w:t>
            </w:r>
          </w:p>
        </w:tc>
        <w:tc>
          <w:tcPr>
            <w:tcW w:type="dxa" w:w="3888"/>
            <w:vAlign w:val="center"/>
          </w:tcPr>
          <w:p>
            <w:r/>
            <w:r>
              <w:rPr>
                <w:rFonts w:ascii="Arial" w:hAnsi="Arial"/>
                <w:b w:val="0"/>
                <w:sz w:val="18"/>
              </w:rPr>
              <w:t>More interactive and personalized social engineering</w:t>
            </w:r>
          </w:p>
        </w:tc>
        <w:tc>
          <w:tcPr>
            <w:tcW w:type="dxa" w:w="3312"/>
            <w:vAlign w:val="center"/>
          </w:tcPr>
          <w:p>
            <w:r/>
            <w:r>
              <w:rPr>
                <w:rFonts w:ascii="Arial" w:hAnsi="Arial"/>
                <w:b w:val="0"/>
                <w:sz w:val="18"/>
              </w:rPr>
              <w:t>Human trust can be exploited even when technical controls are strong.</w:t>
            </w:r>
          </w:p>
        </w:tc>
      </w:tr>
      <w:tr>
        <w:tc>
          <w:tcPr>
            <w:tcW w:type="dxa" w:w="2160"/>
            <w:vAlign w:val="center"/>
          </w:tcPr>
          <w:p>
            <w:r/>
            <w:r>
              <w:rPr>
                <w:rFonts w:ascii="Arial" w:hAnsi="Arial"/>
                <w:b w:val="0"/>
                <w:sz w:val="18"/>
              </w:rPr>
              <w:t>Supply-chain attacks</w:t>
            </w:r>
          </w:p>
        </w:tc>
        <w:tc>
          <w:tcPr>
            <w:tcW w:type="dxa" w:w="3888"/>
            <w:vAlign w:val="center"/>
          </w:tcPr>
          <w:p>
            <w:r/>
            <w:r>
              <w:rPr>
                <w:rFonts w:ascii="Arial" w:hAnsi="Arial"/>
                <w:b w:val="0"/>
                <w:sz w:val="18"/>
              </w:rPr>
              <w:t>Third-party and software dependencies increasingly targeted</w:t>
            </w:r>
          </w:p>
        </w:tc>
        <w:tc>
          <w:tcPr>
            <w:tcW w:type="dxa" w:w="3312"/>
            <w:vAlign w:val="center"/>
          </w:tcPr>
          <w:p>
            <w:r/>
            <w:r>
              <w:rPr>
                <w:rFonts w:ascii="Arial" w:hAnsi="Arial"/>
                <w:b w:val="0"/>
                <w:sz w:val="18"/>
              </w:rPr>
              <w:t>One compromise can affect many downstream organizations.</w:t>
            </w:r>
          </w:p>
        </w:tc>
      </w:tr>
      <w:tr>
        <w:tc>
          <w:tcPr>
            <w:tcW w:type="dxa" w:w="2160"/>
            <w:vAlign w:val="center"/>
          </w:tcPr>
          <w:p>
            <w:r/>
            <w:r>
              <w:rPr>
                <w:rFonts w:ascii="Arial" w:hAnsi="Arial"/>
                <w:b w:val="0"/>
                <w:sz w:val="18"/>
              </w:rPr>
              <w:t>Cloud/SaaS attacks</w:t>
            </w:r>
          </w:p>
        </w:tc>
        <w:tc>
          <w:tcPr>
            <w:tcW w:type="dxa" w:w="3888"/>
            <w:vAlign w:val="center"/>
          </w:tcPr>
          <w:p>
            <w:r/>
            <w:r>
              <w:rPr>
                <w:rFonts w:ascii="Arial" w:hAnsi="Arial"/>
                <w:b w:val="0"/>
                <w:sz w:val="18"/>
              </w:rPr>
              <w:t>Token theft, cloud misconfiguration, identity abuse, data exfiltration</w:t>
            </w:r>
          </w:p>
        </w:tc>
        <w:tc>
          <w:tcPr>
            <w:tcW w:type="dxa" w:w="3312"/>
            <w:vAlign w:val="center"/>
          </w:tcPr>
          <w:p>
            <w:r/>
            <w:r>
              <w:rPr>
                <w:rFonts w:ascii="Arial" w:hAnsi="Arial"/>
                <w:b w:val="0"/>
                <w:sz w:val="18"/>
              </w:rPr>
              <w:t>Cloud control planes can provide broad access to sensitive data.</w:t>
            </w:r>
          </w:p>
        </w:tc>
      </w:tr>
      <w:tr>
        <w:tc>
          <w:tcPr>
            <w:tcW w:type="dxa" w:w="2160"/>
            <w:vAlign w:val="center"/>
          </w:tcPr>
          <w:p>
            <w:r/>
            <w:r>
              <w:rPr>
                <w:rFonts w:ascii="Arial" w:hAnsi="Arial"/>
                <w:b w:val="0"/>
                <w:sz w:val="18"/>
              </w:rPr>
              <w:t>AI-enabled attacks</w:t>
            </w:r>
          </w:p>
        </w:tc>
        <w:tc>
          <w:tcPr>
            <w:tcW w:type="dxa" w:w="3888"/>
            <w:vAlign w:val="center"/>
          </w:tcPr>
          <w:p>
            <w:r/>
            <w:r>
              <w:rPr>
                <w:rFonts w:ascii="Arial" w:hAnsi="Arial"/>
                <w:b w:val="0"/>
                <w:sz w:val="18"/>
              </w:rPr>
              <w:t>AI improves scale, personalization, reconnaissance and automation</w:t>
            </w:r>
          </w:p>
        </w:tc>
        <w:tc>
          <w:tcPr>
            <w:tcW w:type="dxa" w:w="3312"/>
            <w:vAlign w:val="center"/>
          </w:tcPr>
          <w:p>
            <w:r/>
            <w:r>
              <w:rPr>
                <w:rFonts w:ascii="Arial" w:hAnsi="Arial"/>
                <w:b w:val="0"/>
                <w:sz w:val="18"/>
              </w:rPr>
              <w:t>Attackers can increase speed and volume while reducing effort.</w:t>
            </w:r>
          </w:p>
        </w:tc>
      </w:tr>
      <w:tr>
        <w:tc>
          <w:tcPr>
            <w:tcW w:type="dxa" w:w="2160"/>
            <w:vAlign w:val="center"/>
          </w:tcPr>
          <w:p>
            <w:r/>
            <w:r>
              <w:rPr>
                <w:rFonts w:ascii="Arial" w:hAnsi="Arial"/>
                <w:b w:val="0"/>
                <w:sz w:val="18"/>
              </w:rPr>
              <w:t>DDoS / hacktivism</w:t>
            </w:r>
          </w:p>
        </w:tc>
        <w:tc>
          <w:tcPr>
            <w:tcW w:type="dxa" w:w="3888"/>
            <w:vAlign w:val="center"/>
          </w:tcPr>
          <w:p>
            <w:r/>
            <w:r>
              <w:rPr>
                <w:rFonts w:ascii="Arial" w:hAnsi="Arial"/>
                <w:b w:val="0"/>
                <w:sz w:val="18"/>
              </w:rPr>
              <w:t>High-volume availability attacks remain common</w:t>
            </w:r>
          </w:p>
        </w:tc>
        <w:tc>
          <w:tcPr>
            <w:tcW w:type="dxa" w:w="3312"/>
            <w:vAlign w:val="center"/>
          </w:tcPr>
          <w:p>
            <w:r/>
            <w:r>
              <w:rPr>
                <w:rFonts w:ascii="Arial" w:hAnsi="Arial"/>
                <w:b w:val="0"/>
                <w:sz w:val="18"/>
              </w:rPr>
              <w:t>Services may become unavailable even without data theft.</w:t>
            </w:r>
          </w:p>
        </w:tc>
      </w:tr>
      <w:tr>
        <w:tc>
          <w:tcPr>
            <w:tcW w:type="dxa" w:w="2160"/>
            <w:vAlign w:val="center"/>
          </w:tcPr>
          <w:p>
            <w:r/>
            <w:r>
              <w:rPr>
                <w:rFonts w:ascii="Arial" w:hAnsi="Arial"/>
                <w:b w:val="0"/>
                <w:sz w:val="18"/>
              </w:rPr>
              <w:t>Mobile / messaging malware</w:t>
            </w:r>
          </w:p>
        </w:tc>
        <w:tc>
          <w:tcPr>
            <w:tcW w:type="dxa" w:w="3888"/>
            <w:vAlign w:val="center"/>
          </w:tcPr>
          <w:p>
            <w:r/>
            <w:r>
              <w:rPr>
                <w:rFonts w:ascii="Arial" w:hAnsi="Arial"/>
                <w:b w:val="0"/>
                <w:sz w:val="18"/>
              </w:rPr>
              <w:t>Malicious attachments and social engineering increasingly use mobile channels</w:t>
            </w:r>
          </w:p>
        </w:tc>
        <w:tc>
          <w:tcPr>
            <w:tcW w:type="dxa" w:w="3312"/>
            <w:vAlign w:val="center"/>
          </w:tcPr>
          <w:p>
            <w:r/>
            <w:r>
              <w:rPr>
                <w:rFonts w:ascii="Arial" w:hAnsi="Arial"/>
                <w:b w:val="0"/>
                <w:sz w:val="18"/>
              </w:rPr>
              <w:t>Users may trust familiar messaging accounts and open malicious content.</w:t>
            </w:r>
          </w:p>
        </w:tc>
      </w:tr>
      <w:tr>
        <w:tc>
          <w:tcPr>
            <w:tcW w:type="dxa" w:w="2160"/>
            <w:vAlign w:val="center"/>
          </w:tcPr>
          <w:p>
            <w:r/>
            <w:r>
              <w:rPr>
                <w:rFonts w:ascii="Arial" w:hAnsi="Arial"/>
                <w:b w:val="0"/>
                <w:sz w:val="18"/>
              </w:rPr>
              <w:t>Insider / data exfiltration</w:t>
            </w:r>
          </w:p>
        </w:tc>
        <w:tc>
          <w:tcPr>
            <w:tcW w:type="dxa" w:w="3888"/>
            <w:vAlign w:val="center"/>
          </w:tcPr>
          <w:p>
            <w:r/>
            <w:r>
              <w:rPr>
                <w:rFonts w:ascii="Arial" w:hAnsi="Arial"/>
                <w:b w:val="0"/>
                <w:sz w:val="18"/>
              </w:rPr>
              <w:t>Use of cloud storage and legitimate tools can hide theft</w:t>
            </w:r>
          </w:p>
        </w:tc>
        <w:tc>
          <w:tcPr>
            <w:tcW w:type="dxa" w:w="3312"/>
            <w:vAlign w:val="center"/>
          </w:tcPr>
          <w:p>
            <w:r/>
            <w:r>
              <w:rPr>
                <w:rFonts w:ascii="Arial" w:hAnsi="Arial"/>
                <w:b w:val="0"/>
                <w:sz w:val="18"/>
              </w:rPr>
              <w:t>Traditional perimeter monitoring may miss data leaving through trusted services.</w:t>
            </w:r>
          </w:p>
        </w:tc>
      </w:tr>
    </w:tbl>
    <w:p/>
    <w:p>
      <w:pPr>
        <w:pStyle w:val="Heading1"/>
      </w:pPr>
      <w:r>
        <w:t>4. Major Cybersecurity Threats</w:t>
      </w:r>
    </w:p>
    <w:p>
      <w:pPr>
        <w:pStyle w:val="Heading2"/>
      </w:pPr>
      <w:r>
        <w:t>4.1 Ransomware and Double/Multiple Extortion</w:t>
      </w:r>
    </w:p>
    <w:p>
      <w:r>
        <w:t>Ransomware is malicious activity in which attackers disrupt access to systems or data and demand payment. Modern operations frequently go beyond simple encryption. Attackers may steal sensitive information before disruption and then threaten public disclosure, creating pressure even when backups exist.</w:t>
      </w:r>
    </w:p>
    <w:p>
      <w:r>
        <w:t>CERT-In's India Ransomware Report 2024 describes a shift toward multi-faceted extortion and notes increased targeting of virtualized data-center environments, including VMware ESXi. It also highlights living-off-the-land techniques, where attackers use legitimate administrative tools to blend into normal activity.</w:t>
      </w:r>
    </w:p>
    <w:p>
      <w:pPr>
        <w:pStyle w:val="ListBullet"/>
      </w:pPr>
      <w:r>
        <w:t>Business impact: downtime, lost productivity, recovery costs, legal costs, customer impact and reputational damage.</w:t>
      </w:r>
    </w:p>
    <w:p>
      <w:pPr>
        <w:pStyle w:val="ListBullet"/>
      </w:pPr>
      <w:r>
        <w:t>Security impact: encryption or destruction of data, credential theft, lateral movement and persistence.</w:t>
      </w:r>
    </w:p>
    <w:p>
      <w:pPr>
        <w:pStyle w:val="ListBullet"/>
      </w:pPr>
      <w:r>
        <w:t>Analyst focus: monitor privileged activity, unusual authentication, mass file changes, backup tampering and abnormal network traffic.</w:t>
      </w:r>
    </w:p>
    <w:p>
      <w:pPr>
        <w:pStyle w:val="ListBullet"/>
      </w:pPr>
      <w:r>
        <w:t>Priority controls: phishing-resistant MFA, segmentation, EDR, least privilege, offline/immutable backups and tested recovery procedures.</w:t>
      </w:r>
    </w:p>
    <w:p>
      <w:pPr>
        <w:pStyle w:val="Heading2"/>
      </w:pPr>
      <w:r>
        <w:t>4.2 Vulnerability Exploitation and Zero-Day Risk</w:t>
      </w:r>
    </w:p>
    <w:p>
      <w:r>
        <w:t>Vulnerability exploitation occurs when an attacker abuses a weakness in software, hardware, firmware or configuration. Internet-facing applications, VPNs, firewalls, edge devices and management interfaces are particularly important because they are reachable from outside the organization.</w:t>
      </w:r>
    </w:p>
    <w:p>
      <w:r>
        <w:t>Verizon's 2026 DBIR reports that vulnerability exploitation accounted for 31% of breaches and became the most common initial access vector. It also reports that only 26% of critical vulnerabilities in its dataset were fully remediated and that the median time for full resolution increased to 43 days.</w:t>
      </w:r>
    </w:p>
    <w:p>
      <w:pPr>
        <w:pStyle w:val="ListBullet"/>
      </w:pPr>
      <w:r>
        <w:t>Maintain an accurate inventory of all internet-facing assets.</w:t>
      </w:r>
    </w:p>
    <w:p>
      <w:pPr>
        <w:pStyle w:val="ListBullet"/>
      </w:pPr>
      <w:r>
        <w:t>Prioritize vulnerabilities known to be exploited rather than treating every CVE equally.</w:t>
      </w:r>
    </w:p>
    <w:p>
      <w:pPr>
        <w:pStyle w:val="ListBullet"/>
      </w:pPr>
      <w:r>
        <w:t>Apply compensating controls when immediate patching is impossible.</w:t>
      </w:r>
    </w:p>
    <w:p>
      <w:pPr>
        <w:pStyle w:val="ListBullet"/>
      </w:pPr>
      <w:r>
        <w:t>Remove unnecessary public exposure of management interfaces.</w:t>
      </w:r>
    </w:p>
    <w:p>
      <w:pPr>
        <w:pStyle w:val="ListBullet"/>
      </w:pPr>
      <w:r>
        <w:t>Continuously validate that patches were actually installed and services restarted where required.</w:t>
      </w:r>
    </w:p>
    <w:p>
      <w:pPr>
        <w:pStyle w:val="Heading2"/>
      </w:pPr>
      <w:r>
        <w:t>4.3 Phishing, Vishing and Social Engineering</w:t>
      </w:r>
    </w:p>
    <w:p>
      <w:r>
        <w:t>Social engineering manipulates people rather than only technical systems. Phishing commonly uses email, while vishing uses voice calls and increasingly interactive conversations. Attackers may impersonate executives, IT staff, vendors, banks or service providers.</w:t>
      </w:r>
    </w:p>
    <w:p>
      <w:r>
        <w:t>Mandiant's M-Trends 2026 reports that exploits remained the most common initial infection vector in its 2025 investigations at 32%, while voice phishing rose to 11% and became the second most common vector. Email phishing declined to 6%, indicating that defenders should not treat email filtering as the complete solution to social engineering.</w:t>
      </w:r>
    </w:p>
    <w:p>
      <w:pPr>
        <w:pStyle w:val="ListBullet"/>
      </w:pPr>
      <w:r>
        <w:t>Use phishing-resistant MFA for important accounts.</w:t>
      </w:r>
    </w:p>
    <w:p>
      <w:pPr>
        <w:pStyle w:val="ListBullet"/>
      </w:pPr>
      <w:r>
        <w:t>Train employees to verify unusual payment, password-reset and access requests through a second channel.</w:t>
      </w:r>
    </w:p>
    <w:p>
      <w:pPr>
        <w:pStyle w:val="ListBullet"/>
      </w:pPr>
      <w:r>
        <w:t>Monitor identity behavior, impossible travel, unusual device registration and suspicious authentication patterns.</w:t>
      </w:r>
    </w:p>
    <w:p>
      <w:pPr>
        <w:pStyle w:val="ListBullet"/>
      </w:pPr>
      <w:r>
        <w:t>Implement strong email authentication and anti-phishing controls.</w:t>
      </w:r>
    </w:p>
    <w:p>
      <w:pPr>
        <w:pStyle w:val="ListBullet"/>
      </w:pPr>
      <w:r>
        <w:t>Create an easy process for employees to report suspicious messages without fear of blame.</w:t>
      </w:r>
    </w:p>
    <w:p>
      <w:pPr>
        <w:pStyle w:val="Heading2"/>
      </w:pPr>
      <w:r>
        <w:t>4.4 Credential Theft and Identity Attacks</w:t>
      </w:r>
    </w:p>
    <w:p>
      <w:r>
        <w:t>Identity has become a major security boundary. Attackers may obtain passwords through phishing, infostealer malware, credential stuffing, password reuse, leaked databases, malicious browser extensions, or token/session theft. Once valid credentials are obtained, attackers may appear to be legitimate users.</w:t>
      </w:r>
    </w:p>
    <w:p>
      <w:r>
        <w:t>Verizon's 2025 DBIR found compromised credentials in 22% of breaches. IBM's 2026 X-Force report also observed more than 300,000 AI-chatbot credential sets advertised on the dark web, illustrating that credentials for modern cloud and AI services have become attractive targets.</w:t>
      </w:r>
    </w:p>
    <w:p>
      <w:pPr>
        <w:pStyle w:val="ListBullet"/>
      </w:pPr>
      <w:r>
        <w:t>Use unique passwords and password managers.</w:t>
      </w:r>
    </w:p>
    <w:p>
      <w:pPr>
        <w:pStyle w:val="ListBullet"/>
      </w:pPr>
      <w:r>
        <w:t>Prefer phishing-resistant MFA such as FIDO2/WebAuthn where practical.</w:t>
      </w:r>
    </w:p>
    <w:p>
      <w:pPr>
        <w:pStyle w:val="ListBullet"/>
      </w:pPr>
      <w:r>
        <w:t>Apply least privilege and just-in-time access for administrative tasks.</w:t>
      </w:r>
    </w:p>
    <w:p>
      <w:pPr>
        <w:pStyle w:val="ListBullet"/>
      </w:pPr>
      <w:r>
        <w:t>Monitor privileged and service accounts.</w:t>
      </w:r>
    </w:p>
    <w:p>
      <w:pPr>
        <w:pStyle w:val="ListBullet"/>
      </w:pPr>
      <w:r>
        <w:t>Rotate exposed secrets and remove unused accounts and access keys.</w:t>
      </w:r>
    </w:p>
    <w:p>
      <w:pPr>
        <w:pStyle w:val="Heading2"/>
      </w:pPr>
      <w:r>
        <w:t>4.5 Supply-Chain and Third-Party Compromise</w:t>
      </w:r>
    </w:p>
    <w:p>
      <w:r>
        <w:t>Organizations increasingly depend on software vendors, cloud providers, SaaS platforms, open-source libraries, managed service providers and external contractors. Attackers can target these dependencies because one compromise may provide access to many customers.</w:t>
      </w:r>
    </w:p>
    <w:p>
      <w:r>
        <w:t>IBM's 2026 X-Force Threat Intelligence Index reports that major supply-chain incidents have increased nearly fourfold over the past five years. Verizon's 2025 DBIR also reported that third-party involvement doubled to 30% of breaches.</w:t>
      </w:r>
    </w:p>
    <w:p>
      <w:pPr>
        <w:pStyle w:val="ListBullet"/>
      </w:pPr>
      <w:r>
        <w:t>Maintain an inventory of vendors, software dependencies and privileged integrations.</w:t>
      </w:r>
    </w:p>
    <w:p>
      <w:pPr>
        <w:pStyle w:val="ListBullet"/>
      </w:pPr>
      <w:r>
        <w:t>Use least privilege for vendor accounts and service integrations.</w:t>
      </w:r>
    </w:p>
    <w:p>
      <w:pPr>
        <w:pStyle w:val="ListBullet"/>
      </w:pPr>
      <w:r>
        <w:t>Require security controls and incident-notification clauses in contracts.</w:t>
      </w:r>
    </w:p>
    <w:p>
      <w:pPr>
        <w:pStyle w:val="ListBullet"/>
      </w:pPr>
      <w:r>
        <w:t>Monitor software updates, CI/CD environments and unusual vendor activity.</w:t>
      </w:r>
    </w:p>
    <w:p>
      <w:pPr>
        <w:pStyle w:val="ListBullet"/>
      </w:pPr>
      <w:r>
        <w:t>Prepare contingency plans for critical suppliers.</w:t>
      </w:r>
    </w:p>
    <w:p>
      <w:pPr>
        <w:pStyle w:val="Heading2"/>
      </w:pPr>
      <w:r>
        <w:t>4.6 Cloud and SaaS Security Threats</w:t>
      </w:r>
    </w:p>
    <w:p>
      <w:r>
        <w:t>Cloud adoption changes the attack surface. Instead of attacking only traditional servers, threat actors may target identity providers, cloud control planes, storage buckets, Kubernetes environments, API keys, OAuth tokens and SaaS integrations.</w:t>
      </w:r>
    </w:p>
    <w:p>
      <w:r>
        <w:t>Google Cloud's H1 2026 Threat Horizons report highlights rapid exploitation, vishing, third-party SaaS token theft, cloud data exfiltration and living-off-the-cloud techniques. These trends demonstrate that cloud security must include identity, configuration, logging and data controls rather than relying only on network perimeter defenses.</w:t>
      </w:r>
    </w:p>
    <w:p>
      <w:pPr>
        <w:pStyle w:val="ListBullet"/>
      </w:pPr>
      <w:r>
        <w:t>Enable centralized cloud audit logging and alerting.</w:t>
      </w:r>
    </w:p>
    <w:p>
      <w:pPr>
        <w:pStyle w:val="ListBullet"/>
      </w:pPr>
      <w:r>
        <w:t>Use least-privilege IAM and strong controls for service accounts.</w:t>
      </w:r>
    </w:p>
    <w:p>
      <w:pPr>
        <w:pStyle w:val="ListBullet"/>
      </w:pPr>
      <w:r>
        <w:t>Protect API keys, secrets and OAuth tokens.</w:t>
      </w:r>
    </w:p>
    <w:p>
      <w:pPr>
        <w:pStyle w:val="ListBullet"/>
      </w:pPr>
      <w:r>
        <w:t>Continuously scan cloud configurations for excessive permissions and public exposure.</w:t>
      </w:r>
    </w:p>
    <w:p>
      <w:pPr>
        <w:pStyle w:val="ListBullet"/>
      </w:pPr>
      <w:r>
        <w:t>Monitor data downloads, unusual administrative actions and cross-region or unusual access.</w:t>
      </w:r>
    </w:p>
    <w:p>
      <w:pPr>
        <w:pStyle w:val="Heading2"/>
      </w:pPr>
      <w:r>
        <w:t>4.7 AI-Enabled Cyber Threats</w:t>
      </w:r>
    </w:p>
    <w:p>
      <w:r>
        <w:t>AI is increasingly used as an accelerator rather than as a completely new category of attack. Threat actors can use AI to generate convincing messages, translate content, automate reconnaissance, summarize technical information, scale social engineering and support malware development. AI systems themselves also introduce risks such as prompt injection, data leakage, unsafe tool use and insecure integrations.</w:t>
      </w:r>
    </w:p>
    <w:p>
      <w:r>
        <w:t>Verizon's 2026 DBIR reports that 15% of attack techniques in its dataset were supported by generative AI. ENISA's 2025 Threat Landscape similarly identifies AI as both an optimization tool for malicious activity and a new exposure area.</w:t>
      </w:r>
    </w:p>
    <w:p>
      <w:pPr>
        <w:pStyle w:val="ListBullet"/>
      </w:pPr>
      <w:r>
        <w:t>Establish acceptable-use policies for enterprise AI tools.</w:t>
      </w:r>
    </w:p>
    <w:p>
      <w:pPr>
        <w:pStyle w:val="ListBullet"/>
      </w:pPr>
      <w:r>
        <w:t>Do not paste confidential credentials, source code or sensitive customer data into unapproved AI systems.</w:t>
      </w:r>
    </w:p>
    <w:p>
      <w:pPr>
        <w:pStyle w:val="ListBullet"/>
      </w:pPr>
      <w:r>
        <w:t>Apply identity and access controls to AI agents and plugins.</w:t>
      </w:r>
    </w:p>
    <w:p>
      <w:pPr>
        <w:pStyle w:val="ListBullet"/>
      </w:pPr>
      <w:r>
        <w:t>Log AI-related administrative and data-access activity.</w:t>
      </w:r>
    </w:p>
    <w:p>
      <w:pPr>
        <w:pStyle w:val="ListBullet"/>
      </w:pPr>
      <w:r>
        <w:t>Treat AI output as untrusted until validated, especially for security decisions or code.</w:t>
      </w:r>
    </w:p>
    <w:p>
      <w:pPr>
        <w:pStyle w:val="Heading2"/>
      </w:pPr>
      <w:r>
        <w:t>4.8 DDoS and Hacktivism</w:t>
      </w:r>
    </w:p>
    <w:p>
      <w:r>
        <w:t>Distributed Denial-of-Service (DDoS) attacks attempt to make online services unavailable by overwhelming resources. Hacktivist groups may use DDoS for political or ideological reasons. ENISA's 2025 Threat Landscape found DDoS to be the dominant incident type in its European dataset, accounting for 77% of reported incidents, although ransomware was assessed as the most impactful threat.</w:t>
      </w:r>
    </w:p>
    <w:p>
      <w:pPr>
        <w:pStyle w:val="ListBullet"/>
      </w:pPr>
      <w:r>
        <w:t>Use DDoS protection and upstream traffic filtering for public services.</w:t>
      </w:r>
    </w:p>
    <w:p>
      <w:pPr>
        <w:pStyle w:val="ListBullet"/>
      </w:pPr>
      <w:r>
        <w:t>Monitor traffic baselines and sudden volume changes.</w:t>
      </w:r>
    </w:p>
    <w:p>
      <w:pPr>
        <w:pStyle w:val="ListBullet"/>
      </w:pPr>
      <w:r>
        <w:t>Maintain redundant infrastructure and tested failover.</w:t>
      </w:r>
    </w:p>
    <w:p>
      <w:pPr>
        <w:pStyle w:val="ListBullet"/>
      </w:pPr>
      <w:r>
        <w:t>Separate critical internal services from public-facing systems where possible.</w:t>
      </w:r>
    </w:p>
    <w:p>
      <w:pPr>
        <w:pStyle w:val="Heading1"/>
      </w:pPr>
      <w:r>
        <w:t>5. Common Attack Vectors</w:t>
      </w:r>
    </w:p>
    <w:p>
      <w:r>
        <w:t>An attack vector is the route or technique used to obtain unauthorized access or cause harm. A useful analyst perspective is to ask: 'How can an attacker enter, how can they expand access, and what business asset can they reach?'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vAlign w:val="center"/>
            <w:shd w:fill="D9EAF7"/>
          </w:tcPr>
          <w:p>
            <w:r/>
            <w:r>
              <w:rPr>
                <w:rFonts w:ascii="Arial" w:hAnsi="Arial"/>
                <w:b/>
                <w:sz w:val="18"/>
              </w:rPr>
              <w:t>Attack Vector</w:t>
            </w:r>
          </w:p>
        </w:tc>
        <w:tc>
          <w:tcPr>
            <w:tcW w:type="dxa" w:w="2880"/>
            <w:vAlign w:val="center"/>
            <w:shd w:fill="D9EAF7"/>
          </w:tcPr>
          <w:p>
            <w:r/>
            <w:r>
              <w:rPr>
                <w:rFonts w:ascii="Arial" w:hAnsi="Arial"/>
                <w:b/>
                <w:sz w:val="18"/>
              </w:rPr>
              <w:t>Typical Entry Point</w:t>
            </w:r>
          </w:p>
        </w:tc>
        <w:tc>
          <w:tcPr>
            <w:tcW w:type="dxa" w:w="2880"/>
            <w:vAlign w:val="center"/>
            <w:shd w:fill="D9EAF7"/>
          </w:tcPr>
          <w:p>
            <w:r/>
            <w:r>
              <w:rPr>
                <w:rFonts w:ascii="Arial" w:hAnsi="Arial"/>
                <w:b/>
                <w:sz w:val="18"/>
              </w:rPr>
              <w:t>Possible Next Step</w:t>
            </w:r>
          </w:p>
        </w:tc>
        <w:tc>
          <w:tcPr>
            <w:tcW w:type="dxa" w:w="2592"/>
            <w:vAlign w:val="center"/>
            <w:shd w:fill="D9EAF7"/>
          </w:tcPr>
          <w:p>
            <w:r/>
            <w:r>
              <w:rPr>
                <w:rFonts w:ascii="Arial" w:hAnsi="Arial"/>
                <w:b/>
                <w:sz w:val="18"/>
              </w:rPr>
              <w:t>Main Defensive Control</w:t>
            </w:r>
          </w:p>
        </w:tc>
      </w:tr>
      <w:tr>
        <w:tc>
          <w:tcPr>
            <w:tcW w:type="dxa" w:w="2160"/>
            <w:vAlign w:val="center"/>
          </w:tcPr>
          <w:p>
            <w:r/>
            <w:r>
              <w:rPr>
                <w:rFonts w:ascii="Arial" w:hAnsi="Arial"/>
                <w:b w:val="0"/>
                <w:sz w:val="18"/>
              </w:rPr>
              <w:t>Exploited vulnerability</w:t>
            </w:r>
          </w:p>
        </w:tc>
        <w:tc>
          <w:tcPr>
            <w:tcW w:type="dxa" w:w="2880"/>
            <w:vAlign w:val="center"/>
          </w:tcPr>
          <w:p>
            <w:r/>
            <w:r>
              <w:rPr>
                <w:rFonts w:ascii="Arial" w:hAnsi="Arial"/>
                <w:b w:val="0"/>
                <w:sz w:val="18"/>
              </w:rPr>
              <w:t>Internet-facing application, VPN, firewall, edge device</w:t>
            </w:r>
          </w:p>
        </w:tc>
        <w:tc>
          <w:tcPr>
            <w:tcW w:type="dxa" w:w="2880"/>
            <w:vAlign w:val="center"/>
          </w:tcPr>
          <w:p>
            <w:r/>
            <w:r>
              <w:rPr>
                <w:rFonts w:ascii="Arial" w:hAnsi="Arial"/>
                <w:b w:val="0"/>
                <w:sz w:val="18"/>
              </w:rPr>
              <w:t>Web shell, account creation, lateral movement</w:t>
            </w:r>
          </w:p>
        </w:tc>
        <w:tc>
          <w:tcPr>
            <w:tcW w:type="dxa" w:w="2592"/>
            <w:vAlign w:val="center"/>
          </w:tcPr>
          <w:p>
            <w:r/>
            <w:r>
              <w:rPr>
                <w:rFonts w:ascii="Arial" w:hAnsi="Arial"/>
                <w:b w:val="0"/>
                <w:sz w:val="18"/>
              </w:rPr>
              <w:t>Exposure management + rapid patching</w:t>
            </w:r>
          </w:p>
        </w:tc>
      </w:tr>
      <w:tr>
        <w:tc>
          <w:tcPr>
            <w:tcW w:type="dxa" w:w="2160"/>
            <w:vAlign w:val="center"/>
          </w:tcPr>
          <w:p>
            <w:r/>
            <w:r>
              <w:rPr>
                <w:rFonts w:ascii="Arial" w:hAnsi="Arial"/>
                <w:b w:val="0"/>
                <w:sz w:val="18"/>
              </w:rPr>
              <w:t>Stolen credentials</w:t>
            </w:r>
          </w:p>
        </w:tc>
        <w:tc>
          <w:tcPr>
            <w:tcW w:type="dxa" w:w="2880"/>
            <w:vAlign w:val="center"/>
          </w:tcPr>
          <w:p>
            <w:r/>
            <w:r>
              <w:rPr>
                <w:rFonts w:ascii="Arial" w:hAnsi="Arial"/>
                <w:b w:val="0"/>
                <w:sz w:val="18"/>
              </w:rPr>
              <w:t>Password leak, infostealer, credential stuffing</w:t>
            </w:r>
          </w:p>
        </w:tc>
        <w:tc>
          <w:tcPr>
            <w:tcW w:type="dxa" w:w="2880"/>
            <w:vAlign w:val="center"/>
          </w:tcPr>
          <w:p>
            <w:r/>
            <w:r>
              <w:rPr>
                <w:rFonts w:ascii="Arial" w:hAnsi="Arial"/>
                <w:b w:val="0"/>
                <w:sz w:val="18"/>
              </w:rPr>
              <w:t>Cloud/SaaS access, privilege escalation</w:t>
            </w:r>
          </w:p>
        </w:tc>
        <w:tc>
          <w:tcPr>
            <w:tcW w:type="dxa" w:w="2592"/>
            <w:vAlign w:val="center"/>
          </w:tcPr>
          <w:p>
            <w:r/>
            <w:r>
              <w:rPr>
                <w:rFonts w:ascii="Arial" w:hAnsi="Arial"/>
                <w:b w:val="0"/>
                <w:sz w:val="18"/>
              </w:rPr>
              <w:t>MFA + identity monitoring</w:t>
            </w:r>
          </w:p>
        </w:tc>
      </w:tr>
      <w:tr>
        <w:tc>
          <w:tcPr>
            <w:tcW w:type="dxa" w:w="2160"/>
            <w:vAlign w:val="center"/>
          </w:tcPr>
          <w:p>
            <w:r/>
            <w:r>
              <w:rPr>
                <w:rFonts w:ascii="Arial" w:hAnsi="Arial"/>
                <w:b w:val="0"/>
                <w:sz w:val="18"/>
              </w:rPr>
              <w:t>Phishing/vishing</w:t>
            </w:r>
          </w:p>
        </w:tc>
        <w:tc>
          <w:tcPr>
            <w:tcW w:type="dxa" w:w="2880"/>
            <w:vAlign w:val="center"/>
          </w:tcPr>
          <w:p>
            <w:r/>
            <w:r>
              <w:rPr>
                <w:rFonts w:ascii="Arial" w:hAnsi="Arial"/>
                <w:b w:val="0"/>
                <w:sz w:val="18"/>
              </w:rPr>
              <w:t>Email, phone, messaging app</w:t>
            </w:r>
          </w:p>
        </w:tc>
        <w:tc>
          <w:tcPr>
            <w:tcW w:type="dxa" w:w="2880"/>
            <w:vAlign w:val="center"/>
          </w:tcPr>
          <w:p>
            <w:r/>
            <w:r>
              <w:rPr>
                <w:rFonts w:ascii="Arial" w:hAnsi="Arial"/>
                <w:b w:val="0"/>
                <w:sz w:val="18"/>
              </w:rPr>
              <w:t>Credential theft, malware, fraudulent action</w:t>
            </w:r>
          </w:p>
        </w:tc>
        <w:tc>
          <w:tcPr>
            <w:tcW w:type="dxa" w:w="2592"/>
            <w:vAlign w:val="center"/>
          </w:tcPr>
          <w:p>
            <w:r/>
            <w:r>
              <w:rPr>
                <w:rFonts w:ascii="Arial" w:hAnsi="Arial"/>
                <w:b w:val="0"/>
                <w:sz w:val="18"/>
              </w:rPr>
              <w:t>Phishing-resistant MFA + training</w:t>
            </w:r>
          </w:p>
        </w:tc>
      </w:tr>
      <w:tr>
        <w:tc>
          <w:tcPr>
            <w:tcW w:type="dxa" w:w="2160"/>
            <w:vAlign w:val="center"/>
          </w:tcPr>
          <w:p>
            <w:r/>
            <w:r>
              <w:rPr>
                <w:rFonts w:ascii="Arial" w:hAnsi="Arial"/>
                <w:b w:val="0"/>
                <w:sz w:val="18"/>
              </w:rPr>
              <w:t>Malicious attachment/link</w:t>
            </w:r>
          </w:p>
        </w:tc>
        <w:tc>
          <w:tcPr>
            <w:tcW w:type="dxa" w:w="2880"/>
            <w:vAlign w:val="center"/>
          </w:tcPr>
          <w:p>
            <w:r/>
            <w:r>
              <w:rPr>
                <w:rFonts w:ascii="Arial" w:hAnsi="Arial"/>
                <w:b w:val="0"/>
                <w:sz w:val="18"/>
              </w:rPr>
              <w:t>Email or messaging platform</w:t>
            </w:r>
          </w:p>
        </w:tc>
        <w:tc>
          <w:tcPr>
            <w:tcW w:type="dxa" w:w="2880"/>
            <w:vAlign w:val="center"/>
          </w:tcPr>
          <w:p>
            <w:r/>
            <w:r>
              <w:rPr>
                <w:rFonts w:ascii="Arial" w:hAnsi="Arial"/>
                <w:b w:val="0"/>
                <w:sz w:val="18"/>
              </w:rPr>
              <w:t>Malware execution</w:t>
            </w:r>
          </w:p>
        </w:tc>
        <w:tc>
          <w:tcPr>
            <w:tcW w:type="dxa" w:w="2592"/>
            <w:vAlign w:val="center"/>
          </w:tcPr>
          <w:p>
            <w:r/>
            <w:r>
              <w:rPr>
                <w:rFonts w:ascii="Arial" w:hAnsi="Arial"/>
                <w:b w:val="0"/>
                <w:sz w:val="18"/>
              </w:rPr>
              <w:t>Secure email/web gateway + EDR</w:t>
            </w:r>
          </w:p>
        </w:tc>
      </w:tr>
      <w:tr>
        <w:tc>
          <w:tcPr>
            <w:tcW w:type="dxa" w:w="2160"/>
            <w:vAlign w:val="center"/>
          </w:tcPr>
          <w:p>
            <w:r/>
            <w:r>
              <w:rPr>
                <w:rFonts w:ascii="Arial" w:hAnsi="Arial"/>
                <w:b w:val="0"/>
                <w:sz w:val="18"/>
              </w:rPr>
              <w:t>Third-party compromise</w:t>
            </w:r>
          </w:p>
        </w:tc>
        <w:tc>
          <w:tcPr>
            <w:tcW w:type="dxa" w:w="2880"/>
            <w:vAlign w:val="center"/>
          </w:tcPr>
          <w:p>
            <w:r/>
            <w:r>
              <w:rPr>
                <w:rFonts w:ascii="Arial" w:hAnsi="Arial"/>
                <w:b w:val="0"/>
                <w:sz w:val="18"/>
              </w:rPr>
              <w:t>Vendor account, update, SaaS integration</w:t>
            </w:r>
          </w:p>
        </w:tc>
        <w:tc>
          <w:tcPr>
            <w:tcW w:type="dxa" w:w="2880"/>
            <w:vAlign w:val="center"/>
          </w:tcPr>
          <w:p>
            <w:r/>
            <w:r>
              <w:rPr>
                <w:rFonts w:ascii="Arial" w:hAnsi="Arial"/>
                <w:b w:val="0"/>
                <w:sz w:val="18"/>
              </w:rPr>
              <w:t>Trusted access into customer environment</w:t>
            </w:r>
          </w:p>
        </w:tc>
        <w:tc>
          <w:tcPr>
            <w:tcW w:type="dxa" w:w="2592"/>
            <w:vAlign w:val="center"/>
          </w:tcPr>
          <w:p>
            <w:r/>
            <w:r>
              <w:rPr>
                <w:rFonts w:ascii="Arial" w:hAnsi="Arial"/>
                <w:b w:val="0"/>
                <w:sz w:val="18"/>
              </w:rPr>
              <w:t>Vendor risk management + least privilege</w:t>
            </w:r>
          </w:p>
        </w:tc>
      </w:tr>
      <w:tr>
        <w:tc>
          <w:tcPr>
            <w:tcW w:type="dxa" w:w="2160"/>
            <w:vAlign w:val="center"/>
          </w:tcPr>
          <w:p>
            <w:r/>
            <w:r>
              <w:rPr>
                <w:rFonts w:ascii="Arial" w:hAnsi="Arial"/>
                <w:b w:val="0"/>
                <w:sz w:val="18"/>
              </w:rPr>
              <w:t>Cloud misconfiguration</w:t>
            </w:r>
          </w:p>
        </w:tc>
        <w:tc>
          <w:tcPr>
            <w:tcW w:type="dxa" w:w="2880"/>
            <w:vAlign w:val="center"/>
          </w:tcPr>
          <w:p>
            <w:r/>
            <w:r>
              <w:rPr>
                <w:rFonts w:ascii="Arial" w:hAnsi="Arial"/>
                <w:b w:val="0"/>
                <w:sz w:val="18"/>
              </w:rPr>
              <w:t>Public storage, excessive IAM, exposed secret</w:t>
            </w:r>
          </w:p>
        </w:tc>
        <w:tc>
          <w:tcPr>
            <w:tcW w:type="dxa" w:w="2880"/>
            <w:vAlign w:val="center"/>
          </w:tcPr>
          <w:p>
            <w:r/>
            <w:r>
              <w:rPr>
                <w:rFonts w:ascii="Arial" w:hAnsi="Arial"/>
                <w:b w:val="0"/>
                <w:sz w:val="18"/>
              </w:rPr>
              <w:t>Data theft or account takeover</w:t>
            </w:r>
          </w:p>
        </w:tc>
        <w:tc>
          <w:tcPr>
            <w:tcW w:type="dxa" w:w="2592"/>
            <w:vAlign w:val="center"/>
          </w:tcPr>
          <w:p>
            <w:r/>
            <w:r>
              <w:rPr>
                <w:rFonts w:ascii="Arial" w:hAnsi="Arial"/>
                <w:b w:val="0"/>
                <w:sz w:val="18"/>
              </w:rPr>
              <w:t>CSPM/IAM controls + logging</w:t>
            </w:r>
          </w:p>
        </w:tc>
      </w:tr>
      <w:tr>
        <w:tc>
          <w:tcPr>
            <w:tcW w:type="dxa" w:w="2160"/>
            <w:vAlign w:val="center"/>
          </w:tcPr>
          <w:p>
            <w:r/>
            <w:r>
              <w:rPr>
                <w:rFonts w:ascii="Arial" w:hAnsi="Arial"/>
                <w:b w:val="0"/>
                <w:sz w:val="18"/>
              </w:rPr>
              <w:t>Insider misuse</w:t>
            </w:r>
          </w:p>
        </w:tc>
        <w:tc>
          <w:tcPr>
            <w:tcW w:type="dxa" w:w="2880"/>
            <w:vAlign w:val="center"/>
          </w:tcPr>
          <w:p>
            <w:r/>
            <w:r>
              <w:rPr>
                <w:rFonts w:ascii="Arial" w:hAnsi="Arial"/>
                <w:b w:val="0"/>
                <w:sz w:val="18"/>
              </w:rPr>
              <w:t>Legitimate employee or contractor access</w:t>
            </w:r>
          </w:p>
        </w:tc>
        <w:tc>
          <w:tcPr>
            <w:tcW w:type="dxa" w:w="2880"/>
            <w:vAlign w:val="center"/>
          </w:tcPr>
          <w:p>
            <w:r/>
            <w:r>
              <w:rPr>
                <w:rFonts w:ascii="Arial" w:hAnsi="Arial"/>
                <w:b w:val="0"/>
                <w:sz w:val="18"/>
              </w:rPr>
              <w:t>Data theft or sabotage</w:t>
            </w:r>
          </w:p>
        </w:tc>
        <w:tc>
          <w:tcPr>
            <w:tcW w:type="dxa" w:w="2592"/>
            <w:vAlign w:val="center"/>
          </w:tcPr>
          <w:p>
            <w:r/>
            <w:r>
              <w:rPr>
                <w:rFonts w:ascii="Arial" w:hAnsi="Arial"/>
                <w:b w:val="0"/>
                <w:sz w:val="18"/>
              </w:rPr>
              <w:t>Least privilege + UEBA/DLP</w:t>
            </w:r>
          </w:p>
        </w:tc>
      </w:tr>
      <w:tr>
        <w:tc>
          <w:tcPr>
            <w:tcW w:type="dxa" w:w="2160"/>
            <w:vAlign w:val="center"/>
          </w:tcPr>
          <w:p>
            <w:r/>
            <w:r>
              <w:rPr>
                <w:rFonts w:ascii="Arial" w:hAnsi="Arial"/>
                <w:b w:val="0"/>
                <w:sz w:val="18"/>
              </w:rPr>
              <w:t>Supply-chain dependency</w:t>
            </w:r>
          </w:p>
        </w:tc>
        <w:tc>
          <w:tcPr>
            <w:tcW w:type="dxa" w:w="2880"/>
            <w:vAlign w:val="center"/>
          </w:tcPr>
          <w:p>
            <w:r/>
            <w:r>
              <w:rPr>
                <w:rFonts w:ascii="Arial" w:hAnsi="Arial"/>
                <w:b w:val="0"/>
                <w:sz w:val="18"/>
              </w:rPr>
              <w:t>Open-source package, CI/CD, software update</w:t>
            </w:r>
          </w:p>
        </w:tc>
        <w:tc>
          <w:tcPr>
            <w:tcW w:type="dxa" w:w="2880"/>
            <w:vAlign w:val="center"/>
          </w:tcPr>
          <w:p>
            <w:r/>
            <w:r>
              <w:rPr>
                <w:rFonts w:ascii="Arial" w:hAnsi="Arial"/>
                <w:b w:val="0"/>
                <w:sz w:val="18"/>
              </w:rPr>
              <w:t>Malicious code propagation</w:t>
            </w:r>
          </w:p>
        </w:tc>
        <w:tc>
          <w:tcPr>
            <w:tcW w:type="dxa" w:w="2592"/>
            <w:vAlign w:val="center"/>
          </w:tcPr>
          <w:p>
            <w:r/>
            <w:r>
              <w:rPr>
                <w:rFonts w:ascii="Arial" w:hAnsi="Arial"/>
                <w:b w:val="0"/>
                <w:sz w:val="18"/>
              </w:rPr>
              <w:t>SBOM + dependency scanning + signed builds</w:t>
            </w:r>
          </w:p>
        </w:tc>
      </w:tr>
      <w:tr>
        <w:tc>
          <w:tcPr>
            <w:tcW w:type="dxa" w:w="2160"/>
            <w:vAlign w:val="center"/>
          </w:tcPr>
          <w:p>
            <w:r/>
            <w:r>
              <w:rPr>
                <w:rFonts w:ascii="Arial" w:hAnsi="Arial"/>
                <w:b w:val="0"/>
                <w:sz w:val="18"/>
              </w:rPr>
              <w:t>DDoS</w:t>
            </w:r>
          </w:p>
        </w:tc>
        <w:tc>
          <w:tcPr>
            <w:tcW w:type="dxa" w:w="2880"/>
            <w:vAlign w:val="center"/>
          </w:tcPr>
          <w:p>
            <w:r/>
            <w:r>
              <w:rPr>
                <w:rFonts w:ascii="Arial" w:hAnsi="Arial"/>
                <w:b w:val="0"/>
                <w:sz w:val="18"/>
              </w:rPr>
              <w:t>Public network/service</w:t>
            </w:r>
          </w:p>
        </w:tc>
        <w:tc>
          <w:tcPr>
            <w:tcW w:type="dxa" w:w="2880"/>
            <w:vAlign w:val="center"/>
          </w:tcPr>
          <w:p>
            <w:r/>
            <w:r>
              <w:rPr>
                <w:rFonts w:ascii="Arial" w:hAnsi="Arial"/>
                <w:b w:val="0"/>
                <w:sz w:val="18"/>
              </w:rPr>
              <w:t>Service disruption</w:t>
            </w:r>
          </w:p>
        </w:tc>
        <w:tc>
          <w:tcPr>
            <w:tcW w:type="dxa" w:w="2592"/>
            <w:vAlign w:val="center"/>
          </w:tcPr>
          <w:p>
            <w:r/>
            <w:r>
              <w:rPr>
                <w:rFonts w:ascii="Arial" w:hAnsi="Arial"/>
                <w:b w:val="0"/>
                <w:sz w:val="18"/>
              </w:rPr>
              <w:t>DDoS protection + redundancy</w:t>
            </w:r>
          </w:p>
        </w:tc>
      </w:tr>
      <w:tr>
        <w:tc>
          <w:tcPr>
            <w:tcW w:type="dxa" w:w="2160"/>
            <w:vAlign w:val="center"/>
          </w:tcPr>
          <w:p>
            <w:r/>
            <w:r>
              <w:rPr>
                <w:rFonts w:ascii="Arial" w:hAnsi="Arial"/>
                <w:b w:val="0"/>
                <w:sz w:val="18"/>
              </w:rPr>
              <w:t>Mobile/messaging malware</w:t>
            </w:r>
          </w:p>
        </w:tc>
        <w:tc>
          <w:tcPr>
            <w:tcW w:type="dxa" w:w="2880"/>
            <w:vAlign w:val="center"/>
          </w:tcPr>
          <w:p>
            <w:r/>
            <w:r>
              <w:rPr>
                <w:rFonts w:ascii="Arial" w:hAnsi="Arial"/>
                <w:b w:val="0"/>
                <w:sz w:val="18"/>
              </w:rPr>
              <w:t>Compromised contact or malicious attachment</w:t>
            </w:r>
          </w:p>
        </w:tc>
        <w:tc>
          <w:tcPr>
            <w:tcW w:type="dxa" w:w="2880"/>
            <w:vAlign w:val="center"/>
          </w:tcPr>
          <w:p>
            <w:r/>
            <w:r>
              <w:rPr>
                <w:rFonts w:ascii="Arial" w:hAnsi="Arial"/>
                <w:b w:val="0"/>
                <w:sz w:val="18"/>
              </w:rPr>
              <w:t>Credential theft / malware</w:t>
            </w:r>
          </w:p>
        </w:tc>
        <w:tc>
          <w:tcPr>
            <w:tcW w:type="dxa" w:w="2592"/>
            <w:vAlign w:val="center"/>
          </w:tcPr>
          <w:p>
            <w:r/>
            <w:r>
              <w:rPr>
                <w:rFonts w:ascii="Arial" w:hAnsi="Arial"/>
                <w:b w:val="0"/>
                <w:sz w:val="18"/>
              </w:rPr>
              <w:t>Mobile security + user awareness</w:t>
            </w:r>
          </w:p>
        </w:tc>
      </w:tr>
    </w:tbl>
    <w:p/>
    <w:p>
      <w:pPr>
        <w:pStyle w:val="Heading1"/>
      </w:pPr>
      <w:r>
        <w:t>6. Typical Cyber Attack Lifecycle</w:t>
      </w:r>
    </w:p>
    <w:p>
      <w:r>
        <w:t>A simplified lifecycle helps analysts understand where security controls can interrupt an attack. The stages below are conceptual and can overlap.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vAlign w:val="center"/>
            <w:shd w:fill="D9EAF7"/>
          </w:tcPr>
          <w:p>
            <w:r/>
            <w:r>
              <w:rPr>
                <w:rFonts w:ascii="Arial" w:hAnsi="Arial"/>
                <w:b/>
                <w:sz w:val="18"/>
              </w:rPr>
              <w:t>Stage</w:t>
            </w:r>
          </w:p>
        </w:tc>
        <w:tc>
          <w:tcPr>
            <w:tcW w:type="dxa" w:w="3024"/>
            <w:vAlign w:val="center"/>
            <w:shd w:fill="D9EAF7"/>
          </w:tcPr>
          <w:p>
            <w:r/>
            <w:r>
              <w:rPr>
                <w:rFonts w:ascii="Arial" w:hAnsi="Arial"/>
                <w:b/>
                <w:sz w:val="18"/>
              </w:rPr>
              <w:t>Attacker Goal</w:t>
            </w:r>
          </w:p>
        </w:tc>
        <w:tc>
          <w:tcPr>
            <w:tcW w:type="dxa" w:w="3312"/>
            <w:vAlign w:val="center"/>
            <w:shd w:fill="D9EAF7"/>
          </w:tcPr>
          <w:p>
            <w:r/>
            <w:r>
              <w:rPr>
                <w:rFonts w:ascii="Arial" w:hAnsi="Arial"/>
                <w:b/>
                <w:sz w:val="18"/>
              </w:rPr>
              <w:t>Example Indicator</w:t>
            </w:r>
          </w:p>
        </w:tc>
        <w:tc>
          <w:tcPr>
            <w:tcW w:type="dxa" w:w="2880"/>
            <w:vAlign w:val="center"/>
            <w:shd w:fill="D9EAF7"/>
          </w:tcPr>
          <w:p>
            <w:r/>
            <w:r>
              <w:rPr>
                <w:rFonts w:ascii="Arial" w:hAnsi="Arial"/>
                <w:b/>
                <w:sz w:val="18"/>
              </w:rPr>
              <w:t>Defensive Opportunity</w:t>
            </w:r>
          </w:p>
        </w:tc>
      </w:tr>
      <w:tr>
        <w:tc>
          <w:tcPr>
            <w:tcW w:type="dxa" w:w="1728"/>
            <w:vAlign w:val="center"/>
          </w:tcPr>
          <w:p>
            <w:r/>
            <w:r>
              <w:rPr>
                <w:rFonts w:ascii="Arial" w:hAnsi="Arial"/>
                <w:b w:val="0"/>
                <w:sz w:val="18"/>
              </w:rPr>
              <w:t>1. Reconnaissance</w:t>
            </w:r>
          </w:p>
        </w:tc>
        <w:tc>
          <w:tcPr>
            <w:tcW w:type="dxa" w:w="3024"/>
            <w:vAlign w:val="center"/>
          </w:tcPr>
          <w:p>
            <w:r/>
            <w:r>
              <w:rPr>
                <w:rFonts w:ascii="Arial" w:hAnsi="Arial"/>
                <w:b w:val="0"/>
                <w:sz w:val="18"/>
              </w:rPr>
              <w:t>Find people, domains, technologies and exposed assets</w:t>
            </w:r>
          </w:p>
        </w:tc>
        <w:tc>
          <w:tcPr>
            <w:tcW w:type="dxa" w:w="3312"/>
            <w:vAlign w:val="center"/>
          </w:tcPr>
          <w:p>
            <w:r/>
            <w:r>
              <w:rPr>
                <w:rFonts w:ascii="Arial" w:hAnsi="Arial"/>
                <w:b w:val="0"/>
                <w:sz w:val="18"/>
              </w:rPr>
              <w:t>Scanning, suspicious enumeration</w:t>
            </w:r>
          </w:p>
        </w:tc>
        <w:tc>
          <w:tcPr>
            <w:tcW w:type="dxa" w:w="2880"/>
            <w:vAlign w:val="center"/>
          </w:tcPr>
          <w:p>
            <w:r/>
            <w:r>
              <w:rPr>
                <w:rFonts w:ascii="Arial" w:hAnsi="Arial"/>
                <w:b w:val="0"/>
                <w:sz w:val="18"/>
              </w:rPr>
              <w:t>Attack-surface management</w:t>
            </w:r>
          </w:p>
        </w:tc>
      </w:tr>
      <w:tr>
        <w:tc>
          <w:tcPr>
            <w:tcW w:type="dxa" w:w="1728"/>
            <w:vAlign w:val="center"/>
          </w:tcPr>
          <w:p>
            <w:r/>
            <w:r>
              <w:rPr>
                <w:rFonts w:ascii="Arial" w:hAnsi="Arial"/>
                <w:b w:val="0"/>
                <w:sz w:val="18"/>
              </w:rPr>
              <w:t>2. Initial Access</w:t>
            </w:r>
          </w:p>
        </w:tc>
        <w:tc>
          <w:tcPr>
            <w:tcW w:type="dxa" w:w="3024"/>
            <w:vAlign w:val="center"/>
          </w:tcPr>
          <w:p>
            <w:r/>
            <w:r>
              <w:rPr>
                <w:rFonts w:ascii="Arial" w:hAnsi="Arial"/>
                <w:b w:val="0"/>
                <w:sz w:val="18"/>
              </w:rPr>
              <w:t>Enter the environment</w:t>
            </w:r>
          </w:p>
        </w:tc>
        <w:tc>
          <w:tcPr>
            <w:tcW w:type="dxa" w:w="3312"/>
            <w:vAlign w:val="center"/>
          </w:tcPr>
          <w:p>
            <w:r/>
            <w:r>
              <w:rPr>
                <w:rFonts w:ascii="Arial" w:hAnsi="Arial"/>
                <w:b w:val="0"/>
                <w:sz w:val="18"/>
              </w:rPr>
              <w:t>Exploit, phishing, stolen credential</w:t>
            </w:r>
          </w:p>
        </w:tc>
        <w:tc>
          <w:tcPr>
            <w:tcW w:type="dxa" w:w="2880"/>
            <w:vAlign w:val="center"/>
          </w:tcPr>
          <w:p>
            <w:r/>
            <w:r>
              <w:rPr>
                <w:rFonts w:ascii="Arial" w:hAnsi="Arial"/>
                <w:b w:val="0"/>
                <w:sz w:val="18"/>
              </w:rPr>
              <w:t>Patch, MFA, email/web security</w:t>
            </w:r>
          </w:p>
        </w:tc>
      </w:tr>
      <w:tr>
        <w:tc>
          <w:tcPr>
            <w:tcW w:type="dxa" w:w="1728"/>
            <w:vAlign w:val="center"/>
          </w:tcPr>
          <w:p>
            <w:r/>
            <w:r>
              <w:rPr>
                <w:rFonts w:ascii="Arial" w:hAnsi="Arial"/>
                <w:b w:val="0"/>
                <w:sz w:val="18"/>
              </w:rPr>
              <w:t>3. Execution</w:t>
            </w:r>
          </w:p>
        </w:tc>
        <w:tc>
          <w:tcPr>
            <w:tcW w:type="dxa" w:w="3024"/>
            <w:vAlign w:val="center"/>
          </w:tcPr>
          <w:p>
            <w:r/>
            <w:r>
              <w:rPr>
                <w:rFonts w:ascii="Arial" w:hAnsi="Arial"/>
                <w:b w:val="0"/>
                <w:sz w:val="18"/>
              </w:rPr>
              <w:t>Run code or commands</w:t>
            </w:r>
          </w:p>
        </w:tc>
        <w:tc>
          <w:tcPr>
            <w:tcW w:type="dxa" w:w="3312"/>
            <w:vAlign w:val="center"/>
          </w:tcPr>
          <w:p>
            <w:r/>
            <w:r>
              <w:rPr>
                <w:rFonts w:ascii="Arial" w:hAnsi="Arial"/>
                <w:b w:val="0"/>
                <w:sz w:val="18"/>
              </w:rPr>
              <w:t>Suspicious process or script</w:t>
            </w:r>
          </w:p>
        </w:tc>
        <w:tc>
          <w:tcPr>
            <w:tcW w:type="dxa" w:w="2880"/>
            <w:vAlign w:val="center"/>
          </w:tcPr>
          <w:p>
            <w:r/>
            <w:r>
              <w:rPr>
                <w:rFonts w:ascii="Arial" w:hAnsi="Arial"/>
                <w:b w:val="0"/>
                <w:sz w:val="18"/>
              </w:rPr>
              <w:t>EDR, application control</w:t>
            </w:r>
          </w:p>
        </w:tc>
      </w:tr>
      <w:tr>
        <w:tc>
          <w:tcPr>
            <w:tcW w:type="dxa" w:w="1728"/>
            <w:vAlign w:val="center"/>
          </w:tcPr>
          <w:p>
            <w:r/>
            <w:r>
              <w:rPr>
                <w:rFonts w:ascii="Arial" w:hAnsi="Arial"/>
                <w:b w:val="0"/>
                <w:sz w:val="18"/>
              </w:rPr>
              <w:t>4. Persistence</w:t>
            </w:r>
          </w:p>
        </w:tc>
        <w:tc>
          <w:tcPr>
            <w:tcW w:type="dxa" w:w="3024"/>
            <w:vAlign w:val="center"/>
          </w:tcPr>
          <w:p>
            <w:r/>
            <w:r>
              <w:rPr>
                <w:rFonts w:ascii="Arial" w:hAnsi="Arial"/>
                <w:b w:val="0"/>
                <w:sz w:val="18"/>
              </w:rPr>
              <w:t>Maintain access</w:t>
            </w:r>
          </w:p>
        </w:tc>
        <w:tc>
          <w:tcPr>
            <w:tcW w:type="dxa" w:w="3312"/>
            <w:vAlign w:val="center"/>
          </w:tcPr>
          <w:p>
            <w:r/>
            <w:r>
              <w:rPr>
                <w:rFonts w:ascii="Arial" w:hAnsi="Arial"/>
                <w:b w:val="0"/>
                <w:sz w:val="18"/>
              </w:rPr>
              <w:t>New account, scheduled task, token</w:t>
            </w:r>
          </w:p>
        </w:tc>
        <w:tc>
          <w:tcPr>
            <w:tcW w:type="dxa" w:w="2880"/>
            <w:vAlign w:val="center"/>
          </w:tcPr>
          <w:p>
            <w:r/>
            <w:r>
              <w:rPr>
                <w:rFonts w:ascii="Arial" w:hAnsi="Arial"/>
                <w:b w:val="0"/>
                <w:sz w:val="18"/>
              </w:rPr>
              <w:t>Identity monitoring, endpoint controls</w:t>
            </w:r>
          </w:p>
        </w:tc>
      </w:tr>
      <w:tr>
        <w:tc>
          <w:tcPr>
            <w:tcW w:type="dxa" w:w="1728"/>
            <w:vAlign w:val="center"/>
          </w:tcPr>
          <w:p>
            <w:r/>
            <w:r>
              <w:rPr>
                <w:rFonts w:ascii="Arial" w:hAnsi="Arial"/>
                <w:b w:val="0"/>
                <w:sz w:val="18"/>
              </w:rPr>
              <w:t>5. Privilege Escalation</w:t>
            </w:r>
          </w:p>
        </w:tc>
        <w:tc>
          <w:tcPr>
            <w:tcW w:type="dxa" w:w="3024"/>
            <w:vAlign w:val="center"/>
          </w:tcPr>
          <w:p>
            <w:r/>
            <w:r>
              <w:rPr>
                <w:rFonts w:ascii="Arial" w:hAnsi="Arial"/>
                <w:b w:val="0"/>
                <w:sz w:val="18"/>
              </w:rPr>
              <w:t>Gain higher permissions</w:t>
            </w:r>
          </w:p>
        </w:tc>
        <w:tc>
          <w:tcPr>
            <w:tcW w:type="dxa" w:w="3312"/>
            <w:vAlign w:val="center"/>
          </w:tcPr>
          <w:p>
            <w:r/>
            <w:r>
              <w:rPr>
                <w:rFonts w:ascii="Arial" w:hAnsi="Arial"/>
                <w:b w:val="0"/>
                <w:sz w:val="18"/>
              </w:rPr>
              <w:t>Abnormal admin activity</w:t>
            </w:r>
          </w:p>
        </w:tc>
        <w:tc>
          <w:tcPr>
            <w:tcW w:type="dxa" w:w="2880"/>
            <w:vAlign w:val="center"/>
          </w:tcPr>
          <w:p>
            <w:r/>
            <w:r>
              <w:rPr>
                <w:rFonts w:ascii="Arial" w:hAnsi="Arial"/>
                <w:b w:val="0"/>
                <w:sz w:val="18"/>
              </w:rPr>
              <w:t>Least privilege, PAM</w:t>
            </w:r>
          </w:p>
        </w:tc>
      </w:tr>
      <w:tr>
        <w:tc>
          <w:tcPr>
            <w:tcW w:type="dxa" w:w="1728"/>
            <w:vAlign w:val="center"/>
          </w:tcPr>
          <w:p>
            <w:r/>
            <w:r>
              <w:rPr>
                <w:rFonts w:ascii="Arial" w:hAnsi="Arial"/>
                <w:b w:val="0"/>
                <w:sz w:val="18"/>
              </w:rPr>
              <w:t>6. Discovery</w:t>
            </w:r>
          </w:p>
        </w:tc>
        <w:tc>
          <w:tcPr>
            <w:tcW w:type="dxa" w:w="3024"/>
            <w:vAlign w:val="center"/>
          </w:tcPr>
          <w:p>
            <w:r/>
            <w:r>
              <w:rPr>
                <w:rFonts w:ascii="Arial" w:hAnsi="Arial"/>
                <w:b w:val="0"/>
                <w:sz w:val="18"/>
              </w:rPr>
              <w:t>Understand the environment</w:t>
            </w:r>
          </w:p>
        </w:tc>
        <w:tc>
          <w:tcPr>
            <w:tcW w:type="dxa" w:w="3312"/>
            <w:vAlign w:val="center"/>
          </w:tcPr>
          <w:p>
            <w:r/>
            <w:r>
              <w:rPr>
                <w:rFonts w:ascii="Arial" w:hAnsi="Arial"/>
                <w:b w:val="0"/>
                <w:sz w:val="18"/>
              </w:rPr>
              <w:t>Unusual directory/network queries</w:t>
            </w:r>
          </w:p>
        </w:tc>
        <w:tc>
          <w:tcPr>
            <w:tcW w:type="dxa" w:w="2880"/>
            <w:vAlign w:val="center"/>
          </w:tcPr>
          <w:p>
            <w:r/>
            <w:r>
              <w:rPr>
                <w:rFonts w:ascii="Arial" w:hAnsi="Arial"/>
                <w:b w:val="0"/>
                <w:sz w:val="18"/>
              </w:rPr>
              <w:t>EDR/NDR and logging</w:t>
            </w:r>
          </w:p>
        </w:tc>
      </w:tr>
      <w:tr>
        <w:tc>
          <w:tcPr>
            <w:tcW w:type="dxa" w:w="1728"/>
            <w:vAlign w:val="center"/>
          </w:tcPr>
          <w:p>
            <w:r/>
            <w:r>
              <w:rPr>
                <w:rFonts w:ascii="Arial" w:hAnsi="Arial"/>
                <w:b w:val="0"/>
                <w:sz w:val="18"/>
              </w:rPr>
              <w:t>7. Lateral Movement</w:t>
            </w:r>
          </w:p>
        </w:tc>
        <w:tc>
          <w:tcPr>
            <w:tcW w:type="dxa" w:w="3024"/>
            <w:vAlign w:val="center"/>
          </w:tcPr>
          <w:p>
            <w:r/>
            <w:r>
              <w:rPr>
                <w:rFonts w:ascii="Arial" w:hAnsi="Arial"/>
                <w:b w:val="0"/>
                <w:sz w:val="18"/>
              </w:rPr>
              <w:t>Reach additional systems</w:t>
            </w:r>
          </w:p>
        </w:tc>
        <w:tc>
          <w:tcPr>
            <w:tcW w:type="dxa" w:w="3312"/>
            <w:vAlign w:val="center"/>
          </w:tcPr>
          <w:p>
            <w:r/>
            <w:r>
              <w:rPr>
                <w:rFonts w:ascii="Arial" w:hAnsi="Arial"/>
                <w:b w:val="0"/>
                <w:sz w:val="18"/>
              </w:rPr>
              <w:t>Remote administration from unusual host</w:t>
            </w:r>
          </w:p>
        </w:tc>
        <w:tc>
          <w:tcPr>
            <w:tcW w:type="dxa" w:w="2880"/>
            <w:vAlign w:val="center"/>
          </w:tcPr>
          <w:p>
            <w:r/>
            <w:r>
              <w:rPr>
                <w:rFonts w:ascii="Arial" w:hAnsi="Arial"/>
                <w:b w:val="0"/>
                <w:sz w:val="18"/>
              </w:rPr>
              <w:t>Segmentation, identity analytics</w:t>
            </w:r>
          </w:p>
        </w:tc>
      </w:tr>
      <w:tr>
        <w:tc>
          <w:tcPr>
            <w:tcW w:type="dxa" w:w="1728"/>
            <w:vAlign w:val="center"/>
          </w:tcPr>
          <w:p>
            <w:r/>
            <w:r>
              <w:rPr>
                <w:rFonts w:ascii="Arial" w:hAnsi="Arial"/>
                <w:b w:val="0"/>
                <w:sz w:val="18"/>
              </w:rPr>
              <w:t>8. Collection</w:t>
            </w:r>
          </w:p>
        </w:tc>
        <w:tc>
          <w:tcPr>
            <w:tcW w:type="dxa" w:w="3024"/>
            <w:vAlign w:val="center"/>
          </w:tcPr>
          <w:p>
            <w:r/>
            <w:r>
              <w:rPr>
                <w:rFonts w:ascii="Arial" w:hAnsi="Arial"/>
                <w:b w:val="0"/>
                <w:sz w:val="18"/>
              </w:rPr>
              <w:t>Gather valuable data</w:t>
            </w:r>
          </w:p>
        </w:tc>
        <w:tc>
          <w:tcPr>
            <w:tcW w:type="dxa" w:w="3312"/>
            <w:vAlign w:val="center"/>
          </w:tcPr>
          <w:p>
            <w:r/>
            <w:r>
              <w:rPr>
                <w:rFonts w:ascii="Arial" w:hAnsi="Arial"/>
                <w:b w:val="0"/>
                <w:sz w:val="18"/>
              </w:rPr>
              <w:t>Large or unusual file access</w:t>
            </w:r>
          </w:p>
        </w:tc>
        <w:tc>
          <w:tcPr>
            <w:tcW w:type="dxa" w:w="2880"/>
            <w:vAlign w:val="center"/>
          </w:tcPr>
          <w:p>
            <w:r/>
            <w:r>
              <w:rPr>
                <w:rFonts w:ascii="Arial" w:hAnsi="Arial"/>
                <w:b w:val="0"/>
                <w:sz w:val="18"/>
              </w:rPr>
              <w:t>DLP, data access monitoring</w:t>
            </w:r>
          </w:p>
        </w:tc>
      </w:tr>
      <w:tr>
        <w:tc>
          <w:tcPr>
            <w:tcW w:type="dxa" w:w="1728"/>
            <w:vAlign w:val="center"/>
          </w:tcPr>
          <w:p>
            <w:r/>
            <w:r>
              <w:rPr>
                <w:rFonts w:ascii="Arial" w:hAnsi="Arial"/>
                <w:b w:val="0"/>
                <w:sz w:val="18"/>
              </w:rPr>
              <w:t>9. Exfiltration</w:t>
            </w:r>
          </w:p>
        </w:tc>
        <w:tc>
          <w:tcPr>
            <w:tcW w:type="dxa" w:w="3024"/>
            <w:vAlign w:val="center"/>
          </w:tcPr>
          <w:p>
            <w:r/>
            <w:r>
              <w:rPr>
                <w:rFonts w:ascii="Arial" w:hAnsi="Arial"/>
                <w:b w:val="0"/>
                <w:sz w:val="18"/>
              </w:rPr>
              <w:t>Move data outside</w:t>
            </w:r>
          </w:p>
        </w:tc>
        <w:tc>
          <w:tcPr>
            <w:tcW w:type="dxa" w:w="3312"/>
            <w:vAlign w:val="center"/>
          </w:tcPr>
          <w:p>
            <w:r/>
            <w:r>
              <w:rPr>
                <w:rFonts w:ascii="Arial" w:hAnsi="Arial"/>
                <w:b w:val="0"/>
                <w:sz w:val="18"/>
              </w:rPr>
              <w:t>Large outbound transfer</w:t>
            </w:r>
          </w:p>
        </w:tc>
        <w:tc>
          <w:tcPr>
            <w:tcW w:type="dxa" w:w="2880"/>
            <w:vAlign w:val="center"/>
          </w:tcPr>
          <w:p>
            <w:r/>
            <w:r>
              <w:rPr>
                <w:rFonts w:ascii="Arial" w:hAnsi="Arial"/>
                <w:b w:val="0"/>
                <w:sz w:val="18"/>
              </w:rPr>
              <w:t>DLP, egress monitoring</w:t>
            </w:r>
          </w:p>
        </w:tc>
      </w:tr>
      <w:tr>
        <w:tc>
          <w:tcPr>
            <w:tcW w:type="dxa" w:w="1728"/>
            <w:vAlign w:val="center"/>
          </w:tcPr>
          <w:p>
            <w:r/>
            <w:r>
              <w:rPr>
                <w:rFonts w:ascii="Arial" w:hAnsi="Arial"/>
                <w:b w:val="0"/>
                <w:sz w:val="18"/>
              </w:rPr>
              <w:t>10. Impact</w:t>
            </w:r>
          </w:p>
        </w:tc>
        <w:tc>
          <w:tcPr>
            <w:tcW w:type="dxa" w:w="3024"/>
            <w:vAlign w:val="center"/>
          </w:tcPr>
          <w:p>
            <w:r/>
            <w:r>
              <w:rPr>
                <w:rFonts w:ascii="Arial" w:hAnsi="Arial"/>
                <w:b w:val="0"/>
                <w:sz w:val="18"/>
              </w:rPr>
              <w:t>Disrupt, extort or destroy</w:t>
            </w:r>
          </w:p>
        </w:tc>
        <w:tc>
          <w:tcPr>
            <w:tcW w:type="dxa" w:w="3312"/>
            <w:vAlign w:val="center"/>
          </w:tcPr>
          <w:p>
            <w:r/>
            <w:r>
              <w:rPr>
                <w:rFonts w:ascii="Arial" w:hAnsi="Arial"/>
                <w:b w:val="0"/>
                <w:sz w:val="18"/>
              </w:rPr>
              <w:t>Encryption, deletion, service outage</w:t>
            </w:r>
          </w:p>
        </w:tc>
        <w:tc>
          <w:tcPr>
            <w:tcW w:type="dxa" w:w="2880"/>
            <w:vAlign w:val="center"/>
          </w:tcPr>
          <w:p>
            <w:r/>
            <w:r>
              <w:rPr>
                <w:rFonts w:ascii="Arial" w:hAnsi="Arial"/>
                <w:b w:val="0"/>
                <w:sz w:val="18"/>
              </w:rPr>
              <w:t>Backups, IR, resilience</w:t>
            </w:r>
          </w:p>
        </w:tc>
      </w:tr>
    </w:tbl>
    <w:p/>
    <w:p>
      <w:pPr>
        <w:pStyle w:val="Heading1"/>
      </w:pPr>
      <w:r>
        <w:t>7. Potential Impact on Organizations</w:t>
      </w:r>
    </w:p>
    <w:p>
      <w:r>
        <w:t>Cybersecurity risk should be evaluated in terms of business impact, not only technical severity. The same vulnerability can have very different consequences depending on whether it affects a public website, employee laptop, payment system, healthcare database, manufacturing system or identity provider.</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AF7"/>
          </w:tcPr>
          <w:p>
            <w:r/>
            <w:r>
              <w:rPr>
                <w:rFonts w:ascii="Arial" w:hAnsi="Arial"/>
                <w:b/>
                <w:sz w:val="18"/>
              </w:rPr>
              <w:t>Impact Dimension</w:t>
            </w:r>
          </w:p>
        </w:tc>
        <w:tc>
          <w:tcPr>
            <w:tcW w:type="dxa" w:w="4464"/>
            <w:vAlign w:val="center"/>
            <w:shd w:fill="D9EAF7"/>
          </w:tcPr>
          <w:p>
            <w:r/>
            <w:r>
              <w:rPr>
                <w:rFonts w:ascii="Arial" w:hAnsi="Arial"/>
                <w:b/>
                <w:sz w:val="18"/>
              </w:rPr>
              <w:t>Description</w:t>
            </w:r>
          </w:p>
        </w:tc>
        <w:tc>
          <w:tcPr>
            <w:tcW w:type="dxa" w:w="3744"/>
            <w:vAlign w:val="center"/>
            <w:shd w:fill="D9EAF7"/>
          </w:tcPr>
          <w:p>
            <w:r/>
            <w:r>
              <w:rPr>
                <w:rFonts w:ascii="Arial" w:hAnsi="Arial"/>
                <w:b/>
                <w:sz w:val="18"/>
              </w:rPr>
              <w:t>Example</w:t>
            </w:r>
          </w:p>
        </w:tc>
      </w:tr>
      <w:tr>
        <w:tc>
          <w:tcPr>
            <w:tcW w:type="dxa" w:w="2160"/>
            <w:vAlign w:val="center"/>
          </w:tcPr>
          <w:p>
            <w:r/>
            <w:r>
              <w:rPr>
                <w:rFonts w:ascii="Arial" w:hAnsi="Arial"/>
                <w:b w:val="0"/>
                <w:sz w:val="18"/>
              </w:rPr>
              <w:t>Confidentiality</w:t>
            </w:r>
          </w:p>
        </w:tc>
        <w:tc>
          <w:tcPr>
            <w:tcW w:type="dxa" w:w="4464"/>
            <w:vAlign w:val="center"/>
          </w:tcPr>
          <w:p>
            <w:r/>
            <w:r>
              <w:rPr>
                <w:rFonts w:ascii="Arial" w:hAnsi="Arial"/>
                <w:b w:val="0"/>
                <w:sz w:val="18"/>
              </w:rPr>
              <w:t>Unauthorized disclosure of information</w:t>
            </w:r>
          </w:p>
        </w:tc>
        <w:tc>
          <w:tcPr>
            <w:tcW w:type="dxa" w:w="3744"/>
            <w:vAlign w:val="center"/>
          </w:tcPr>
          <w:p>
            <w:r/>
            <w:r>
              <w:rPr>
                <w:rFonts w:ascii="Arial" w:hAnsi="Arial"/>
                <w:b w:val="0"/>
                <w:sz w:val="18"/>
              </w:rPr>
              <w:t>Customer records, credentials or intellectual property leaked</w:t>
            </w:r>
          </w:p>
        </w:tc>
      </w:tr>
      <w:tr>
        <w:tc>
          <w:tcPr>
            <w:tcW w:type="dxa" w:w="2160"/>
            <w:vAlign w:val="center"/>
          </w:tcPr>
          <w:p>
            <w:r/>
            <w:r>
              <w:rPr>
                <w:rFonts w:ascii="Arial" w:hAnsi="Arial"/>
                <w:b w:val="0"/>
                <w:sz w:val="18"/>
              </w:rPr>
              <w:t>Integrity</w:t>
            </w:r>
          </w:p>
        </w:tc>
        <w:tc>
          <w:tcPr>
            <w:tcW w:type="dxa" w:w="4464"/>
            <w:vAlign w:val="center"/>
          </w:tcPr>
          <w:p>
            <w:r/>
            <w:r>
              <w:rPr>
                <w:rFonts w:ascii="Arial" w:hAnsi="Arial"/>
                <w:b w:val="0"/>
                <w:sz w:val="18"/>
              </w:rPr>
              <w:t>Unauthorized alteration or destruction of information</w:t>
            </w:r>
          </w:p>
        </w:tc>
        <w:tc>
          <w:tcPr>
            <w:tcW w:type="dxa" w:w="3744"/>
            <w:vAlign w:val="center"/>
          </w:tcPr>
          <w:p>
            <w:r/>
            <w:r>
              <w:rPr>
                <w:rFonts w:ascii="Arial" w:hAnsi="Arial"/>
                <w:b w:val="0"/>
                <w:sz w:val="18"/>
              </w:rPr>
              <w:t>Manipulated financial records or software updates</w:t>
            </w:r>
          </w:p>
        </w:tc>
      </w:tr>
      <w:tr>
        <w:tc>
          <w:tcPr>
            <w:tcW w:type="dxa" w:w="2160"/>
            <w:vAlign w:val="center"/>
          </w:tcPr>
          <w:p>
            <w:r/>
            <w:r>
              <w:rPr>
                <w:rFonts w:ascii="Arial" w:hAnsi="Arial"/>
                <w:b w:val="0"/>
                <w:sz w:val="18"/>
              </w:rPr>
              <w:t>Availability</w:t>
            </w:r>
          </w:p>
        </w:tc>
        <w:tc>
          <w:tcPr>
            <w:tcW w:type="dxa" w:w="4464"/>
            <w:vAlign w:val="center"/>
          </w:tcPr>
          <w:p>
            <w:r/>
            <w:r>
              <w:rPr>
                <w:rFonts w:ascii="Arial" w:hAnsi="Arial"/>
                <w:b w:val="0"/>
                <w:sz w:val="18"/>
              </w:rPr>
              <w:t>Loss of access to systems or services</w:t>
            </w:r>
          </w:p>
        </w:tc>
        <w:tc>
          <w:tcPr>
            <w:tcW w:type="dxa" w:w="3744"/>
            <w:vAlign w:val="center"/>
          </w:tcPr>
          <w:p>
            <w:r/>
            <w:r>
              <w:rPr>
                <w:rFonts w:ascii="Arial" w:hAnsi="Arial"/>
                <w:b w:val="0"/>
                <w:sz w:val="18"/>
              </w:rPr>
              <w:t>Ransomware or DDoS makes services unavailable</w:t>
            </w:r>
          </w:p>
        </w:tc>
      </w:tr>
      <w:tr>
        <w:tc>
          <w:tcPr>
            <w:tcW w:type="dxa" w:w="2160"/>
            <w:vAlign w:val="center"/>
          </w:tcPr>
          <w:p>
            <w:r/>
            <w:r>
              <w:rPr>
                <w:rFonts w:ascii="Arial" w:hAnsi="Arial"/>
                <w:b w:val="0"/>
                <w:sz w:val="18"/>
              </w:rPr>
              <w:t>Financial</w:t>
            </w:r>
          </w:p>
        </w:tc>
        <w:tc>
          <w:tcPr>
            <w:tcW w:type="dxa" w:w="4464"/>
            <w:vAlign w:val="center"/>
          </w:tcPr>
          <w:p>
            <w:r/>
            <w:r>
              <w:rPr>
                <w:rFonts w:ascii="Arial" w:hAnsi="Arial"/>
                <w:b w:val="0"/>
                <w:sz w:val="18"/>
              </w:rPr>
              <w:t>Direct and indirect monetary loss</w:t>
            </w:r>
          </w:p>
        </w:tc>
        <w:tc>
          <w:tcPr>
            <w:tcW w:type="dxa" w:w="3744"/>
            <w:vAlign w:val="center"/>
          </w:tcPr>
          <w:p>
            <w:r/>
            <w:r>
              <w:rPr>
                <w:rFonts w:ascii="Arial" w:hAnsi="Arial"/>
                <w:b w:val="0"/>
                <w:sz w:val="18"/>
              </w:rPr>
              <w:t>Ransom, recovery, legal costs, fraud and lost revenue</w:t>
            </w:r>
          </w:p>
        </w:tc>
      </w:tr>
      <w:tr>
        <w:tc>
          <w:tcPr>
            <w:tcW w:type="dxa" w:w="2160"/>
            <w:vAlign w:val="center"/>
          </w:tcPr>
          <w:p>
            <w:r/>
            <w:r>
              <w:rPr>
                <w:rFonts w:ascii="Arial" w:hAnsi="Arial"/>
                <w:b w:val="0"/>
                <w:sz w:val="18"/>
              </w:rPr>
              <w:t>Operational</w:t>
            </w:r>
          </w:p>
        </w:tc>
        <w:tc>
          <w:tcPr>
            <w:tcW w:type="dxa" w:w="4464"/>
            <w:vAlign w:val="center"/>
          </w:tcPr>
          <w:p>
            <w:r/>
            <w:r>
              <w:rPr>
                <w:rFonts w:ascii="Arial" w:hAnsi="Arial"/>
                <w:b w:val="0"/>
                <w:sz w:val="18"/>
              </w:rPr>
              <w:t>Interruption of business processes</w:t>
            </w:r>
          </w:p>
        </w:tc>
        <w:tc>
          <w:tcPr>
            <w:tcW w:type="dxa" w:w="3744"/>
            <w:vAlign w:val="center"/>
          </w:tcPr>
          <w:p>
            <w:r/>
            <w:r>
              <w:rPr>
                <w:rFonts w:ascii="Arial" w:hAnsi="Arial"/>
                <w:b w:val="0"/>
                <w:sz w:val="18"/>
              </w:rPr>
              <w:t>Production, payment or customer-support systems stop</w:t>
            </w:r>
          </w:p>
        </w:tc>
      </w:tr>
      <w:tr>
        <w:tc>
          <w:tcPr>
            <w:tcW w:type="dxa" w:w="2160"/>
            <w:vAlign w:val="center"/>
          </w:tcPr>
          <w:p>
            <w:r/>
            <w:r>
              <w:rPr>
                <w:rFonts w:ascii="Arial" w:hAnsi="Arial"/>
                <w:b w:val="0"/>
                <w:sz w:val="18"/>
              </w:rPr>
              <w:t>Reputational</w:t>
            </w:r>
          </w:p>
        </w:tc>
        <w:tc>
          <w:tcPr>
            <w:tcW w:type="dxa" w:w="4464"/>
            <w:vAlign w:val="center"/>
          </w:tcPr>
          <w:p>
            <w:r/>
            <w:r>
              <w:rPr>
                <w:rFonts w:ascii="Arial" w:hAnsi="Arial"/>
                <w:b w:val="0"/>
                <w:sz w:val="18"/>
              </w:rPr>
              <w:t>Loss of customer or partner trust</w:t>
            </w:r>
          </w:p>
        </w:tc>
        <w:tc>
          <w:tcPr>
            <w:tcW w:type="dxa" w:w="3744"/>
            <w:vAlign w:val="center"/>
          </w:tcPr>
          <w:p>
            <w:r/>
            <w:r>
              <w:rPr>
                <w:rFonts w:ascii="Arial" w:hAnsi="Arial"/>
                <w:b w:val="0"/>
                <w:sz w:val="18"/>
              </w:rPr>
              <w:t>Public breach damages brand confidence</w:t>
            </w:r>
          </w:p>
        </w:tc>
      </w:tr>
      <w:tr>
        <w:tc>
          <w:tcPr>
            <w:tcW w:type="dxa" w:w="2160"/>
            <w:vAlign w:val="center"/>
          </w:tcPr>
          <w:p>
            <w:r/>
            <w:r>
              <w:rPr>
                <w:rFonts w:ascii="Arial" w:hAnsi="Arial"/>
                <w:b w:val="0"/>
                <w:sz w:val="18"/>
              </w:rPr>
              <w:t>Legal/Regulatory</w:t>
            </w:r>
          </w:p>
        </w:tc>
        <w:tc>
          <w:tcPr>
            <w:tcW w:type="dxa" w:w="4464"/>
            <w:vAlign w:val="center"/>
          </w:tcPr>
          <w:p>
            <w:r/>
            <w:r>
              <w:rPr>
                <w:rFonts w:ascii="Arial" w:hAnsi="Arial"/>
                <w:b w:val="0"/>
                <w:sz w:val="18"/>
              </w:rPr>
              <w:t>Investigation, notification and possible penalties</w:t>
            </w:r>
          </w:p>
        </w:tc>
        <w:tc>
          <w:tcPr>
            <w:tcW w:type="dxa" w:w="3744"/>
            <w:vAlign w:val="center"/>
          </w:tcPr>
          <w:p>
            <w:r/>
            <w:r>
              <w:rPr>
                <w:rFonts w:ascii="Arial" w:hAnsi="Arial"/>
                <w:b w:val="0"/>
                <w:sz w:val="18"/>
              </w:rPr>
              <w:t>Data breach creates regulatory obligations</w:t>
            </w:r>
          </w:p>
        </w:tc>
      </w:tr>
      <w:tr>
        <w:tc>
          <w:tcPr>
            <w:tcW w:type="dxa" w:w="2160"/>
            <w:vAlign w:val="center"/>
          </w:tcPr>
          <w:p>
            <w:r/>
            <w:r>
              <w:rPr>
                <w:rFonts w:ascii="Arial" w:hAnsi="Arial"/>
                <w:b w:val="0"/>
                <w:sz w:val="18"/>
              </w:rPr>
              <w:t>Strategic</w:t>
            </w:r>
          </w:p>
        </w:tc>
        <w:tc>
          <w:tcPr>
            <w:tcW w:type="dxa" w:w="4464"/>
            <w:vAlign w:val="center"/>
          </w:tcPr>
          <w:p>
            <w:r/>
            <w:r>
              <w:rPr>
                <w:rFonts w:ascii="Arial" w:hAnsi="Arial"/>
                <w:b w:val="0"/>
                <w:sz w:val="18"/>
              </w:rPr>
              <w:t>Loss of competitive advantage</w:t>
            </w:r>
          </w:p>
        </w:tc>
        <w:tc>
          <w:tcPr>
            <w:tcW w:type="dxa" w:w="3744"/>
            <w:vAlign w:val="center"/>
          </w:tcPr>
          <w:p>
            <w:r/>
            <w:r>
              <w:rPr>
                <w:rFonts w:ascii="Arial" w:hAnsi="Arial"/>
                <w:b w:val="0"/>
                <w:sz w:val="18"/>
              </w:rPr>
              <w:t>Intellectual property or confidential plans are stolen</w:t>
            </w:r>
          </w:p>
        </w:tc>
      </w:tr>
      <w:tr>
        <w:tc>
          <w:tcPr>
            <w:tcW w:type="dxa" w:w="2160"/>
            <w:vAlign w:val="center"/>
          </w:tcPr>
          <w:p>
            <w:r/>
            <w:r>
              <w:rPr>
                <w:rFonts w:ascii="Arial" w:hAnsi="Arial"/>
                <w:b w:val="0"/>
                <w:sz w:val="18"/>
              </w:rPr>
              <w:t>Safety</w:t>
            </w:r>
          </w:p>
        </w:tc>
        <w:tc>
          <w:tcPr>
            <w:tcW w:type="dxa" w:w="4464"/>
            <w:vAlign w:val="center"/>
          </w:tcPr>
          <w:p>
            <w:r/>
            <w:r>
              <w:rPr>
                <w:rFonts w:ascii="Arial" w:hAnsi="Arial"/>
                <w:b w:val="0"/>
                <w:sz w:val="18"/>
              </w:rPr>
              <w:t>Physical harm caused by compromised cyber-physical systems</w:t>
            </w:r>
          </w:p>
        </w:tc>
        <w:tc>
          <w:tcPr>
            <w:tcW w:type="dxa" w:w="3744"/>
            <w:vAlign w:val="center"/>
          </w:tcPr>
          <w:p>
            <w:r/>
            <w:r>
              <w:rPr>
                <w:rFonts w:ascii="Arial" w:hAnsi="Arial"/>
                <w:b w:val="0"/>
                <w:sz w:val="18"/>
              </w:rPr>
              <w:t>Industrial or medical systems disrupted</w:t>
            </w:r>
          </w:p>
        </w:tc>
      </w:tr>
    </w:tbl>
    <w:p/>
    <w:p>
      <w:pPr>
        <w:pStyle w:val="Heading1"/>
      </w:pPr>
      <w:r>
        <w:t>8. Recent Threat Examples and Case Observations</w:t>
      </w:r>
    </w:p>
    <w:p>
      <w:pPr>
        <w:pStyle w:val="Heading2"/>
      </w:pPr>
      <w:r>
        <w:t>8.1 2026 – Vulnerability Exploitation as the Leading Entry Route</w:t>
      </w:r>
    </w:p>
    <w:p>
      <w:r>
        <w:t>Verizon's 2026 DBIR reports that vulnerability exploitation rose to 31% of breaches and overtook credential abuse as the leading initial access vector. The report also notes that remediation of critical vulnerabilities remained incomplete for many organizations. For analysts, this demonstrates why asset discovery, exposure management and patch validation are core security functions.</w:t>
      </w:r>
    </w:p>
    <w:p>
      <w:pPr>
        <w:pStyle w:val="Heading2"/>
      </w:pPr>
      <w:r>
        <w:t>8.2 2026 – AI-Supported Attack Activity</w:t>
      </w:r>
    </w:p>
    <w:p>
      <w:r>
        <w:t>IBM's 2026 X-Force research describes AI as an accelerator for reconnaissance, social engineering and malware development. The security implication is that defenders may have less time between vulnerability discovery and exploitation. Organizations therefore need more automation in vulnerability detection, identity monitoring and response.</w:t>
      </w:r>
    </w:p>
    <w:p>
      <w:pPr>
        <w:pStyle w:val="Heading2"/>
      </w:pPr>
      <w:r>
        <w:t>8.3 2026 – Messaging-Based Malware Campaign in India</w:t>
      </w:r>
    </w:p>
    <w:p>
      <w:r>
        <w:t>CERT-In reported in June 2026 a large-scale campaign targeting WhatsApp Desktop and Web users with malicious VBScript files. The campaign used compromised WhatsApp accounts to send attachments directly to victims, making the messages appear more trustworthy. The case demonstrates how attackers can combine account compromise, trusted communication channels and malicious files.</w:t>
      </w:r>
    </w:p>
    <w:p>
      <w:pPr>
        <w:pStyle w:val="Heading2"/>
      </w:pPr>
      <w:r>
        <w:t>8.4 2024/2025 – Ransomware and Virtualization</w:t>
      </w:r>
    </w:p>
    <w:p>
      <w:r>
        <w:t>CERT-In's India Ransomware Report 2024 highlights increased targeting of virtualized environments, including VMware ESXi, because compromising the virtualization layer can affect many workloads at once. The report also identifies access-control, patching and monitoring gaps as recurring weaknesses.</w:t>
      </w:r>
    </w:p>
    <w:p>
      <w:pPr>
        <w:pStyle w:val="Heading1"/>
      </w:pPr>
      <w:r>
        <w:t>9. Threat Risk Assessment</w:t>
      </w:r>
    </w:p>
    <w:p>
      <w:r>
        <w:t>The following qualitative risk matrix can be used by a cybersecurity analyst for prioritization. Risk is assessed using Likelihood × Impact. The ratings are a practical starting point and should be adjusted to the organization's sector, assets and threat model.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312"/>
            <w:vAlign w:val="center"/>
            <w:shd w:fill="D9EAF7"/>
          </w:tcPr>
          <w:p>
            <w:r/>
            <w:r>
              <w:rPr>
                <w:rFonts w:ascii="Arial" w:hAnsi="Arial"/>
                <w:b/>
                <w:sz w:val="18"/>
              </w:rPr>
              <w:t>Threat</w:t>
            </w:r>
          </w:p>
        </w:tc>
        <w:tc>
          <w:tcPr>
            <w:tcW w:type="dxa" w:w="1728"/>
            <w:vAlign w:val="center"/>
            <w:shd w:fill="D9EAF7"/>
          </w:tcPr>
          <w:p>
            <w:r/>
            <w:r>
              <w:rPr>
                <w:rFonts w:ascii="Arial" w:hAnsi="Arial"/>
                <w:b/>
                <w:sz w:val="18"/>
              </w:rPr>
              <w:t>Likelihood</w:t>
            </w:r>
          </w:p>
        </w:tc>
        <w:tc>
          <w:tcPr>
            <w:tcW w:type="dxa" w:w="1728"/>
            <w:vAlign w:val="center"/>
            <w:shd w:fill="D9EAF7"/>
          </w:tcPr>
          <w:p>
            <w:r/>
            <w:r>
              <w:rPr>
                <w:rFonts w:ascii="Arial" w:hAnsi="Arial"/>
                <w:b/>
                <w:sz w:val="18"/>
              </w:rPr>
              <w:t>Impact</w:t>
            </w:r>
          </w:p>
        </w:tc>
        <w:tc>
          <w:tcPr>
            <w:tcW w:type="dxa" w:w="1872"/>
            <w:vAlign w:val="center"/>
            <w:shd w:fill="D9EAF7"/>
          </w:tcPr>
          <w:p>
            <w:r/>
            <w:r>
              <w:rPr>
                <w:rFonts w:ascii="Arial" w:hAnsi="Arial"/>
                <w:b/>
                <w:sz w:val="18"/>
              </w:rPr>
              <w:t>Overall Risk</w:t>
            </w:r>
          </w:p>
        </w:tc>
        <w:tc>
          <w:tcPr>
            <w:tcW w:type="dxa" w:w="1152"/>
            <w:vAlign w:val="center"/>
            <w:shd w:fill="D9EAF7"/>
          </w:tcPr>
          <w:p>
            <w:r/>
            <w:r>
              <w:rPr>
                <w:rFonts w:ascii="Arial" w:hAnsi="Arial"/>
                <w:b/>
                <w:sz w:val="18"/>
              </w:rPr>
              <w:t>Priority</w:t>
            </w:r>
          </w:p>
        </w:tc>
      </w:tr>
      <w:tr>
        <w:tc>
          <w:tcPr>
            <w:tcW w:type="dxa" w:w="3312"/>
            <w:vAlign w:val="center"/>
          </w:tcPr>
          <w:p>
            <w:r/>
            <w:r>
              <w:rPr>
                <w:rFonts w:ascii="Arial" w:hAnsi="Arial"/>
                <w:b w:val="0"/>
                <w:sz w:val="18"/>
              </w:rPr>
              <w:t>Ransomware/extortion</w:t>
            </w:r>
          </w:p>
        </w:tc>
        <w:tc>
          <w:tcPr>
            <w:tcW w:type="dxa" w:w="1728"/>
            <w:vAlign w:val="center"/>
          </w:tcPr>
          <w:p>
            <w:r/>
            <w:r>
              <w:rPr>
                <w:rFonts w:ascii="Arial" w:hAnsi="Arial"/>
                <w:b w:val="0"/>
                <w:sz w:val="18"/>
              </w:rPr>
              <w:t>High</w:t>
            </w:r>
          </w:p>
        </w:tc>
        <w:tc>
          <w:tcPr>
            <w:tcW w:type="dxa" w:w="1728"/>
            <w:vAlign w:val="center"/>
          </w:tcPr>
          <w:p>
            <w:r/>
            <w:r>
              <w:rPr>
                <w:rFonts w:ascii="Arial" w:hAnsi="Arial"/>
                <w:b w:val="0"/>
                <w:sz w:val="18"/>
              </w:rPr>
              <w:t>Critical</w:t>
            </w:r>
          </w:p>
        </w:tc>
        <w:tc>
          <w:tcPr>
            <w:tcW w:type="dxa" w:w="1872"/>
            <w:vAlign w:val="center"/>
          </w:tcPr>
          <w:p>
            <w:r/>
            <w:r>
              <w:rPr>
                <w:rFonts w:ascii="Arial" w:hAnsi="Arial"/>
                <w:b w:val="0"/>
                <w:sz w:val="18"/>
              </w:rPr>
              <w:t>Critical</w:t>
            </w:r>
          </w:p>
        </w:tc>
        <w:tc>
          <w:tcPr>
            <w:tcW w:type="dxa" w:w="1152"/>
            <w:vAlign w:val="center"/>
          </w:tcPr>
          <w:p>
            <w:r/>
            <w:r>
              <w:rPr>
                <w:rFonts w:ascii="Arial" w:hAnsi="Arial"/>
                <w:b w:val="0"/>
                <w:sz w:val="18"/>
              </w:rPr>
              <w:t>1</w:t>
            </w:r>
          </w:p>
        </w:tc>
      </w:tr>
      <w:tr>
        <w:tc>
          <w:tcPr>
            <w:tcW w:type="dxa" w:w="3312"/>
            <w:vAlign w:val="center"/>
          </w:tcPr>
          <w:p>
            <w:r/>
            <w:r>
              <w:rPr>
                <w:rFonts w:ascii="Arial" w:hAnsi="Arial"/>
                <w:b w:val="0"/>
                <w:sz w:val="18"/>
              </w:rPr>
              <w:t>Internet-facing vulnerability exploitation</w:t>
            </w:r>
          </w:p>
        </w:tc>
        <w:tc>
          <w:tcPr>
            <w:tcW w:type="dxa" w:w="1728"/>
            <w:vAlign w:val="center"/>
          </w:tcPr>
          <w:p>
            <w:r/>
            <w:r>
              <w:rPr>
                <w:rFonts w:ascii="Arial" w:hAnsi="Arial"/>
                <w:b w:val="0"/>
                <w:sz w:val="18"/>
              </w:rPr>
              <w:t>High</w:t>
            </w:r>
          </w:p>
        </w:tc>
        <w:tc>
          <w:tcPr>
            <w:tcW w:type="dxa" w:w="1728"/>
            <w:vAlign w:val="center"/>
          </w:tcPr>
          <w:p>
            <w:r/>
            <w:r>
              <w:rPr>
                <w:rFonts w:ascii="Arial" w:hAnsi="Arial"/>
                <w:b w:val="0"/>
                <w:sz w:val="18"/>
              </w:rPr>
              <w:t>Critical</w:t>
            </w:r>
          </w:p>
        </w:tc>
        <w:tc>
          <w:tcPr>
            <w:tcW w:type="dxa" w:w="1872"/>
            <w:vAlign w:val="center"/>
          </w:tcPr>
          <w:p>
            <w:r/>
            <w:r>
              <w:rPr>
                <w:rFonts w:ascii="Arial" w:hAnsi="Arial"/>
                <w:b w:val="0"/>
                <w:sz w:val="18"/>
              </w:rPr>
              <w:t>Critical</w:t>
            </w:r>
          </w:p>
        </w:tc>
        <w:tc>
          <w:tcPr>
            <w:tcW w:type="dxa" w:w="1152"/>
            <w:vAlign w:val="center"/>
          </w:tcPr>
          <w:p>
            <w:r/>
            <w:r>
              <w:rPr>
                <w:rFonts w:ascii="Arial" w:hAnsi="Arial"/>
                <w:b w:val="0"/>
                <w:sz w:val="18"/>
              </w:rPr>
              <w:t>2</w:t>
            </w:r>
          </w:p>
        </w:tc>
      </w:tr>
      <w:tr>
        <w:tc>
          <w:tcPr>
            <w:tcW w:type="dxa" w:w="3312"/>
            <w:vAlign w:val="center"/>
          </w:tcPr>
          <w:p>
            <w:r/>
            <w:r>
              <w:rPr>
                <w:rFonts w:ascii="Arial" w:hAnsi="Arial"/>
                <w:b w:val="0"/>
                <w:sz w:val="18"/>
              </w:rPr>
              <w:t>Credential/identity compromise</w:t>
            </w:r>
          </w:p>
        </w:tc>
        <w:tc>
          <w:tcPr>
            <w:tcW w:type="dxa" w:w="1728"/>
            <w:vAlign w:val="center"/>
          </w:tcPr>
          <w:p>
            <w:r/>
            <w:r>
              <w:rPr>
                <w:rFonts w:ascii="Arial" w:hAnsi="Arial"/>
                <w:b w:val="0"/>
                <w:sz w:val="18"/>
              </w:rPr>
              <w:t>High</w:t>
            </w:r>
          </w:p>
        </w:tc>
        <w:tc>
          <w:tcPr>
            <w:tcW w:type="dxa" w:w="1728"/>
            <w:vAlign w:val="center"/>
          </w:tcPr>
          <w:p>
            <w:r/>
            <w:r>
              <w:rPr>
                <w:rFonts w:ascii="Arial" w:hAnsi="Arial"/>
                <w:b w:val="0"/>
                <w:sz w:val="18"/>
              </w:rPr>
              <w:t>High</w:t>
            </w:r>
          </w:p>
        </w:tc>
        <w:tc>
          <w:tcPr>
            <w:tcW w:type="dxa" w:w="1872"/>
            <w:vAlign w:val="center"/>
          </w:tcPr>
          <w:p>
            <w:r/>
            <w:r>
              <w:rPr>
                <w:rFonts w:ascii="Arial" w:hAnsi="Arial"/>
                <w:b w:val="0"/>
                <w:sz w:val="18"/>
              </w:rPr>
              <w:t>High</w:t>
            </w:r>
          </w:p>
        </w:tc>
        <w:tc>
          <w:tcPr>
            <w:tcW w:type="dxa" w:w="1152"/>
            <w:vAlign w:val="center"/>
          </w:tcPr>
          <w:p>
            <w:r/>
            <w:r>
              <w:rPr>
                <w:rFonts w:ascii="Arial" w:hAnsi="Arial"/>
                <w:b w:val="0"/>
                <w:sz w:val="18"/>
              </w:rPr>
              <w:t>3</w:t>
            </w:r>
          </w:p>
        </w:tc>
      </w:tr>
      <w:tr>
        <w:tc>
          <w:tcPr>
            <w:tcW w:type="dxa" w:w="3312"/>
            <w:vAlign w:val="center"/>
          </w:tcPr>
          <w:p>
            <w:r/>
            <w:r>
              <w:rPr>
                <w:rFonts w:ascii="Arial" w:hAnsi="Arial"/>
                <w:b w:val="0"/>
                <w:sz w:val="18"/>
              </w:rPr>
              <w:t>Supply-chain compromise</w:t>
            </w:r>
          </w:p>
        </w:tc>
        <w:tc>
          <w:tcPr>
            <w:tcW w:type="dxa" w:w="1728"/>
            <w:vAlign w:val="center"/>
          </w:tcPr>
          <w:p>
            <w:r/>
            <w:r>
              <w:rPr>
                <w:rFonts w:ascii="Arial" w:hAnsi="Arial"/>
                <w:b w:val="0"/>
                <w:sz w:val="18"/>
              </w:rPr>
              <w:t>Medium–High</w:t>
            </w:r>
          </w:p>
        </w:tc>
        <w:tc>
          <w:tcPr>
            <w:tcW w:type="dxa" w:w="1728"/>
            <w:vAlign w:val="center"/>
          </w:tcPr>
          <w:p>
            <w:r/>
            <w:r>
              <w:rPr>
                <w:rFonts w:ascii="Arial" w:hAnsi="Arial"/>
                <w:b w:val="0"/>
                <w:sz w:val="18"/>
              </w:rPr>
              <w:t>Critical</w:t>
            </w:r>
          </w:p>
        </w:tc>
        <w:tc>
          <w:tcPr>
            <w:tcW w:type="dxa" w:w="1872"/>
            <w:vAlign w:val="center"/>
          </w:tcPr>
          <w:p>
            <w:r/>
            <w:r>
              <w:rPr>
                <w:rFonts w:ascii="Arial" w:hAnsi="Arial"/>
                <w:b w:val="0"/>
                <w:sz w:val="18"/>
              </w:rPr>
              <w:t>High</w:t>
            </w:r>
          </w:p>
        </w:tc>
        <w:tc>
          <w:tcPr>
            <w:tcW w:type="dxa" w:w="1152"/>
            <w:vAlign w:val="center"/>
          </w:tcPr>
          <w:p>
            <w:r/>
            <w:r>
              <w:rPr>
                <w:rFonts w:ascii="Arial" w:hAnsi="Arial"/>
                <w:b w:val="0"/>
                <w:sz w:val="18"/>
              </w:rPr>
              <w:t>4</w:t>
            </w:r>
          </w:p>
        </w:tc>
      </w:tr>
      <w:tr>
        <w:tc>
          <w:tcPr>
            <w:tcW w:type="dxa" w:w="3312"/>
            <w:vAlign w:val="center"/>
          </w:tcPr>
          <w:p>
            <w:r/>
            <w:r>
              <w:rPr>
                <w:rFonts w:ascii="Arial" w:hAnsi="Arial"/>
                <w:b w:val="0"/>
                <w:sz w:val="18"/>
              </w:rPr>
              <w:t>Phishing/vishing/social engineering</w:t>
            </w:r>
          </w:p>
        </w:tc>
        <w:tc>
          <w:tcPr>
            <w:tcW w:type="dxa" w:w="1728"/>
            <w:vAlign w:val="center"/>
          </w:tcPr>
          <w:p>
            <w:r/>
            <w:r>
              <w:rPr>
                <w:rFonts w:ascii="Arial" w:hAnsi="Arial"/>
                <w:b w:val="0"/>
                <w:sz w:val="18"/>
              </w:rPr>
              <w:t>High</w:t>
            </w:r>
          </w:p>
        </w:tc>
        <w:tc>
          <w:tcPr>
            <w:tcW w:type="dxa" w:w="1728"/>
            <w:vAlign w:val="center"/>
          </w:tcPr>
          <w:p>
            <w:r/>
            <w:r>
              <w:rPr>
                <w:rFonts w:ascii="Arial" w:hAnsi="Arial"/>
                <w:b w:val="0"/>
                <w:sz w:val="18"/>
              </w:rPr>
              <w:t>High</w:t>
            </w:r>
          </w:p>
        </w:tc>
        <w:tc>
          <w:tcPr>
            <w:tcW w:type="dxa" w:w="1872"/>
            <w:vAlign w:val="center"/>
          </w:tcPr>
          <w:p>
            <w:r/>
            <w:r>
              <w:rPr>
                <w:rFonts w:ascii="Arial" w:hAnsi="Arial"/>
                <w:b w:val="0"/>
                <w:sz w:val="18"/>
              </w:rPr>
              <w:t>High</w:t>
            </w:r>
          </w:p>
        </w:tc>
        <w:tc>
          <w:tcPr>
            <w:tcW w:type="dxa" w:w="1152"/>
            <w:vAlign w:val="center"/>
          </w:tcPr>
          <w:p>
            <w:r/>
            <w:r>
              <w:rPr>
                <w:rFonts w:ascii="Arial" w:hAnsi="Arial"/>
                <w:b w:val="0"/>
                <w:sz w:val="18"/>
              </w:rPr>
              <w:t>5</w:t>
            </w:r>
          </w:p>
        </w:tc>
      </w:tr>
      <w:tr>
        <w:tc>
          <w:tcPr>
            <w:tcW w:type="dxa" w:w="3312"/>
            <w:vAlign w:val="center"/>
          </w:tcPr>
          <w:p>
            <w:r/>
            <w:r>
              <w:rPr>
                <w:rFonts w:ascii="Arial" w:hAnsi="Arial"/>
                <w:b w:val="0"/>
                <w:sz w:val="18"/>
              </w:rPr>
              <w:t>Cloud/SaaS account compromise</w:t>
            </w:r>
          </w:p>
        </w:tc>
        <w:tc>
          <w:tcPr>
            <w:tcW w:type="dxa" w:w="1728"/>
            <w:vAlign w:val="center"/>
          </w:tcPr>
          <w:p>
            <w:r/>
            <w:r>
              <w:rPr>
                <w:rFonts w:ascii="Arial" w:hAnsi="Arial"/>
                <w:b w:val="0"/>
                <w:sz w:val="18"/>
              </w:rPr>
              <w:t>High</w:t>
            </w:r>
          </w:p>
        </w:tc>
        <w:tc>
          <w:tcPr>
            <w:tcW w:type="dxa" w:w="1728"/>
            <w:vAlign w:val="center"/>
          </w:tcPr>
          <w:p>
            <w:r/>
            <w:r>
              <w:rPr>
                <w:rFonts w:ascii="Arial" w:hAnsi="Arial"/>
                <w:b w:val="0"/>
                <w:sz w:val="18"/>
              </w:rPr>
              <w:t>High</w:t>
            </w:r>
          </w:p>
        </w:tc>
        <w:tc>
          <w:tcPr>
            <w:tcW w:type="dxa" w:w="1872"/>
            <w:vAlign w:val="center"/>
          </w:tcPr>
          <w:p>
            <w:r/>
            <w:r>
              <w:rPr>
                <w:rFonts w:ascii="Arial" w:hAnsi="Arial"/>
                <w:b w:val="0"/>
                <w:sz w:val="18"/>
              </w:rPr>
              <w:t>High</w:t>
            </w:r>
          </w:p>
        </w:tc>
        <w:tc>
          <w:tcPr>
            <w:tcW w:type="dxa" w:w="1152"/>
            <w:vAlign w:val="center"/>
          </w:tcPr>
          <w:p>
            <w:r/>
            <w:r>
              <w:rPr>
                <w:rFonts w:ascii="Arial" w:hAnsi="Arial"/>
                <w:b w:val="0"/>
                <w:sz w:val="18"/>
              </w:rPr>
              <w:t>6</w:t>
            </w:r>
          </w:p>
        </w:tc>
      </w:tr>
      <w:tr>
        <w:tc>
          <w:tcPr>
            <w:tcW w:type="dxa" w:w="3312"/>
            <w:vAlign w:val="center"/>
          </w:tcPr>
          <w:p>
            <w:r/>
            <w:r>
              <w:rPr>
                <w:rFonts w:ascii="Arial" w:hAnsi="Arial"/>
                <w:b w:val="0"/>
                <w:sz w:val="18"/>
              </w:rPr>
              <w:t>AI-enabled attacks</w:t>
            </w:r>
          </w:p>
        </w:tc>
        <w:tc>
          <w:tcPr>
            <w:tcW w:type="dxa" w:w="1728"/>
            <w:vAlign w:val="center"/>
          </w:tcPr>
          <w:p>
            <w:r/>
            <w:r>
              <w:rPr>
                <w:rFonts w:ascii="Arial" w:hAnsi="Arial"/>
                <w:b w:val="0"/>
                <w:sz w:val="18"/>
              </w:rPr>
              <w:t>Medium–High</w:t>
            </w:r>
          </w:p>
        </w:tc>
        <w:tc>
          <w:tcPr>
            <w:tcW w:type="dxa" w:w="1728"/>
            <w:vAlign w:val="center"/>
          </w:tcPr>
          <w:p>
            <w:r/>
            <w:r>
              <w:rPr>
                <w:rFonts w:ascii="Arial" w:hAnsi="Arial"/>
                <w:b w:val="0"/>
                <w:sz w:val="18"/>
              </w:rPr>
              <w:t>High</w:t>
            </w:r>
          </w:p>
        </w:tc>
        <w:tc>
          <w:tcPr>
            <w:tcW w:type="dxa" w:w="1872"/>
            <w:vAlign w:val="center"/>
          </w:tcPr>
          <w:p>
            <w:r/>
            <w:r>
              <w:rPr>
                <w:rFonts w:ascii="Arial" w:hAnsi="Arial"/>
                <w:b w:val="0"/>
                <w:sz w:val="18"/>
              </w:rPr>
              <w:t>High</w:t>
            </w:r>
          </w:p>
        </w:tc>
        <w:tc>
          <w:tcPr>
            <w:tcW w:type="dxa" w:w="1152"/>
            <w:vAlign w:val="center"/>
          </w:tcPr>
          <w:p>
            <w:r/>
            <w:r>
              <w:rPr>
                <w:rFonts w:ascii="Arial" w:hAnsi="Arial"/>
                <w:b w:val="0"/>
                <w:sz w:val="18"/>
              </w:rPr>
              <w:t>7</w:t>
            </w:r>
          </w:p>
        </w:tc>
      </w:tr>
      <w:tr>
        <w:tc>
          <w:tcPr>
            <w:tcW w:type="dxa" w:w="3312"/>
            <w:vAlign w:val="center"/>
          </w:tcPr>
          <w:p>
            <w:r/>
            <w:r>
              <w:rPr>
                <w:rFonts w:ascii="Arial" w:hAnsi="Arial"/>
                <w:b w:val="0"/>
                <w:sz w:val="18"/>
              </w:rPr>
              <w:t>DDoS/hacktivism</w:t>
            </w:r>
          </w:p>
        </w:tc>
        <w:tc>
          <w:tcPr>
            <w:tcW w:type="dxa" w:w="1728"/>
            <w:vAlign w:val="center"/>
          </w:tcPr>
          <w:p>
            <w:r/>
            <w:r>
              <w:rPr>
                <w:rFonts w:ascii="Arial" w:hAnsi="Arial"/>
                <w:b w:val="0"/>
                <w:sz w:val="18"/>
              </w:rPr>
              <w:t>High</w:t>
            </w:r>
          </w:p>
        </w:tc>
        <w:tc>
          <w:tcPr>
            <w:tcW w:type="dxa" w:w="1728"/>
            <w:vAlign w:val="center"/>
          </w:tcPr>
          <w:p>
            <w:r/>
            <w:r>
              <w:rPr>
                <w:rFonts w:ascii="Arial" w:hAnsi="Arial"/>
                <w:b w:val="0"/>
                <w:sz w:val="18"/>
              </w:rPr>
              <w:t>Medium–High</w:t>
            </w:r>
          </w:p>
        </w:tc>
        <w:tc>
          <w:tcPr>
            <w:tcW w:type="dxa" w:w="1872"/>
            <w:vAlign w:val="center"/>
          </w:tcPr>
          <w:p>
            <w:r/>
            <w:r>
              <w:rPr>
                <w:rFonts w:ascii="Arial" w:hAnsi="Arial"/>
                <w:b w:val="0"/>
                <w:sz w:val="18"/>
              </w:rPr>
              <w:t>High</w:t>
            </w:r>
          </w:p>
        </w:tc>
        <w:tc>
          <w:tcPr>
            <w:tcW w:type="dxa" w:w="1152"/>
            <w:vAlign w:val="center"/>
          </w:tcPr>
          <w:p>
            <w:r/>
            <w:r>
              <w:rPr>
                <w:rFonts w:ascii="Arial" w:hAnsi="Arial"/>
                <w:b w:val="0"/>
                <w:sz w:val="18"/>
              </w:rPr>
              <w:t>8</w:t>
            </w:r>
          </w:p>
        </w:tc>
      </w:tr>
      <w:tr>
        <w:tc>
          <w:tcPr>
            <w:tcW w:type="dxa" w:w="3312"/>
            <w:vAlign w:val="center"/>
          </w:tcPr>
          <w:p>
            <w:r/>
            <w:r>
              <w:rPr>
                <w:rFonts w:ascii="Arial" w:hAnsi="Arial"/>
                <w:b w:val="0"/>
                <w:sz w:val="18"/>
              </w:rPr>
              <w:t>Insider data exfiltration</w:t>
            </w:r>
          </w:p>
        </w:tc>
        <w:tc>
          <w:tcPr>
            <w:tcW w:type="dxa" w:w="1728"/>
            <w:vAlign w:val="center"/>
          </w:tcPr>
          <w:p>
            <w:r/>
            <w:r>
              <w:rPr>
                <w:rFonts w:ascii="Arial" w:hAnsi="Arial"/>
                <w:b w:val="0"/>
                <w:sz w:val="18"/>
              </w:rPr>
              <w:t>Medium</w:t>
            </w:r>
          </w:p>
        </w:tc>
        <w:tc>
          <w:tcPr>
            <w:tcW w:type="dxa" w:w="1728"/>
            <w:vAlign w:val="center"/>
          </w:tcPr>
          <w:p>
            <w:r/>
            <w:r>
              <w:rPr>
                <w:rFonts w:ascii="Arial" w:hAnsi="Arial"/>
                <w:b w:val="0"/>
                <w:sz w:val="18"/>
              </w:rPr>
              <w:t>High</w:t>
            </w:r>
          </w:p>
        </w:tc>
        <w:tc>
          <w:tcPr>
            <w:tcW w:type="dxa" w:w="1872"/>
            <w:vAlign w:val="center"/>
          </w:tcPr>
          <w:p>
            <w:r/>
            <w:r>
              <w:rPr>
                <w:rFonts w:ascii="Arial" w:hAnsi="Arial"/>
                <w:b w:val="0"/>
                <w:sz w:val="18"/>
              </w:rPr>
              <w:t>High</w:t>
            </w:r>
          </w:p>
        </w:tc>
        <w:tc>
          <w:tcPr>
            <w:tcW w:type="dxa" w:w="1152"/>
            <w:vAlign w:val="center"/>
          </w:tcPr>
          <w:p>
            <w:r/>
            <w:r>
              <w:rPr>
                <w:rFonts w:ascii="Arial" w:hAnsi="Arial"/>
                <w:b w:val="0"/>
                <w:sz w:val="18"/>
              </w:rPr>
              <w:t>9</w:t>
            </w:r>
          </w:p>
        </w:tc>
      </w:tr>
      <w:tr>
        <w:tc>
          <w:tcPr>
            <w:tcW w:type="dxa" w:w="3312"/>
            <w:vAlign w:val="center"/>
          </w:tcPr>
          <w:p>
            <w:r/>
            <w:r>
              <w:rPr>
                <w:rFonts w:ascii="Arial" w:hAnsi="Arial"/>
                <w:b w:val="0"/>
                <w:sz w:val="18"/>
              </w:rPr>
              <w:t>Mobile/messaging malware</w:t>
            </w:r>
          </w:p>
        </w:tc>
        <w:tc>
          <w:tcPr>
            <w:tcW w:type="dxa" w:w="1728"/>
            <w:vAlign w:val="center"/>
          </w:tcPr>
          <w:p>
            <w:r/>
            <w:r>
              <w:rPr>
                <w:rFonts w:ascii="Arial" w:hAnsi="Arial"/>
                <w:b w:val="0"/>
                <w:sz w:val="18"/>
              </w:rPr>
              <w:t>Medium–High</w:t>
            </w:r>
          </w:p>
        </w:tc>
        <w:tc>
          <w:tcPr>
            <w:tcW w:type="dxa" w:w="1728"/>
            <w:vAlign w:val="center"/>
          </w:tcPr>
          <w:p>
            <w:r/>
            <w:r>
              <w:rPr>
                <w:rFonts w:ascii="Arial" w:hAnsi="Arial"/>
                <w:b w:val="0"/>
                <w:sz w:val="18"/>
              </w:rPr>
              <w:t>Medium–High</w:t>
            </w:r>
          </w:p>
        </w:tc>
        <w:tc>
          <w:tcPr>
            <w:tcW w:type="dxa" w:w="1872"/>
            <w:vAlign w:val="center"/>
          </w:tcPr>
          <w:p>
            <w:r/>
            <w:r>
              <w:rPr>
                <w:rFonts w:ascii="Arial" w:hAnsi="Arial"/>
                <w:b w:val="0"/>
                <w:sz w:val="18"/>
              </w:rPr>
              <w:t>High</w:t>
            </w:r>
          </w:p>
        </w:tc>
        <w:tc>
          <w:tcPr>
            <w:tcW w:type="dxa" w:w="1152"/>
            <w:vAlign w:val="center"/>
          </w:tcPr>
          <w:p>
            <w:r/>
            <w:r>
              <w:rPr>
                <w:rFonts w:ascii="Arial" w:hAnsi="Arial"/>
                <w:b w:val="0"/>
                <w:sz w:val="18"/>
              </w:rPr>
              <w:t>10</w:t>
            </w:r>
          </w:p>
        </w:tc>
      </w:tr>
    </w:tbl>
    <w:p/>
    <w:p>
      <w:pPr>
        <w:pStyle w:val="Heading1"/>
      </w:pPr>
      <w:r>
        <w:t>10. Recommended Security Controls</w:t>
      </w:r>
    </w:p>
    <w:p>
      <w:pPr>
        <w:pStyle w:val="Heading2"/>
      </w:pPr>
      <w:r>
        <w:t>10.1 Identify and Reduce Attack Surface</w:t>
      </w:r>
    </w:p>
    <w:p>
      <w:pPr>
        <w:pStyle w:val="ListBullet"/>
      </w:pPr>
      <w:r>
        <w:t>Maintain a continuously updated inventory of hardware, software, cloud resources, domains, applications and identities.</w:t>
      </w:r>
    </w:p>
    <w:p>
      <w:pPr>
        <w:pStyle w:val="ListBullet"/>
      </w:pPr>
      <w:r>
        <w:t>Identify all internet-facing services and remove unnecessary exposure.</w:t>
      </w:r>
    </w:p>
    <w:p>
      <w:pPr>
        <w:pStyle w:val="ListBullet"/>
      </w:pPr>
      <w:r>
        <w:t>Classify assets by business criticality and data sensitivity.</w:t>
      </w:r>
    </w:p>
    <w:p>
      <w:pPr>
        <w:pStyle w:val="ListBullet"/>
      </w:pPr>
      <w:r>
        <w:t>Track ownership for every critical asset.</w:t>
      </w:r>
    </w:p>
    <w:p>
      <w:pPr>
        <w:pStyle w:val="Heading2"/>
      </w:pPr>
      <w:r>
        <w:t>10.2 Strengthen Identity Security</w:t>
      </w:r>
    </w:p>
    <w:p>
      <w:pPr>
        <w:pStyle w:val="ListBullet"/>
      </w:pPr>
      <w:r>
        <w:t>Enforce MFA for remote access, cloud services, administrative accounts and high-value applications.</w:t>
      </w:r>
    </w:p>
    <w:p>
      <w:pPr>
        <w:pStyle w:val="ListBullet"/>
      </w:pPr>
      <w:r>
        <w:t>Prefer phishing-resistant authentication for privileged and high-risk accounts.</w:t>
      </w:r>
    </w:p>
    <w:p>
      <w:pPr>
        <w:pStyle w:val="ListBullet"/>
      </w:pPr>
      <w:r>
        <w:t>Use least privilege and separate administrative accounts from normal user accounts.</w:t>
      </w:r>
    </w:p>
    <w:p>
      <w:pPr>
        <w:pStyle w:val="ListBullet"/>
      </w:pPr>
      <w:r>
        <w:t>Monitor unusual login patterns, new device enrollment, token use and privilege changes.</w:t>
      </w:r>
    </w:p>
    <w:p>
      <w:pPr>
        <w:pStyle w:val="Heading2"/>
      </w:pPr>
      <w:r>
        <w:t>10.3 Improve Vulnerability Management</w:t>
      </w:r>
    </w:p>
    <w:p>
      <w:pPr>
        <w:pStyle w:val="ListBullet"/>
      </w:pPr>
      <w:r>
        <w:t>Prioritize actively exploited vulnerabilities and exposed perimeter devices.</w:t>
      </w:r>
    </w:p>
    <w:p>
      <w:pPr>
        <w:pStyle w:val="ListBullet"/>
      </w:pPr>
      <w:r>
        <w:t>Use risk-based patch SLAs based on asset criticality and exploitability.</w:t>
      </w:r>
    </w:p>
    <w:p>
      <w:pPr>
        <w:pStyle w:val="ListBullet"/>
      </w:pPr>
      <w:r>
        <w:t>Verify remediation rather than assuming a patch succeeded.</w:t>
      </w:r>
    </w:p>
    <w:p>
      <w:pPr>
        <w:pStyle w:val="ListBullet"/>
      </w:pPr>
      <w:r>
        <w:t>Use temporary controls such as isolation or access restrictions when immediate patching is not possible.</w:t>
      </w:r>
    </w:p>
    <w:p>
      <w:pPr>
        <w:pStyle w:val="Heading2"/>
      </w:pPr>
      <w:r>
        <w:t>10.4 Strengthen Endpoint and Network Detection</w:t>
      </w:r>
    </w:p>
    <w:p>
      <w:pPr>
        <w:pStyle w:val="ListBullet"/>
      </w:pPr>
      <w:r>
        <w:t>Deploy EDR on supported endpoints and servers.</w:t>
      </w:r>
    </w:p>
    <w:p>
      <w:pPr>
        <w:pStyle w:val="ListBullet"/>
      </w:pPr>
      <w:r>
        <w:t>Centralize security logs in a SIEM or equivalent platform.</w:t>
      </w:r>
    </w:p>
    <w:p>
      <w:pPr>
        <w:pStyle w:val="ListBullet"/>
      </w:pPr>
      <w:r>
        <w:t>Monitor identity, endpoint, network, cloud and application telemetry together.</w:t>
      </w:r>
    </w:p>
    <w:p>
      <w:pPr>
        <w:pStyle w:val="ListBullet"/>
      </w:pPr>
      <w:r>
        <w:t>Create detections for suspicious PowerShell/script execution, abnormal remote administration, credential dumping indicators and mass file modification.</w:t>
      </w:r>
    </w:p>
    <w:p>
      <w:pPr>
        <w:pStyle w:val="Heading2"/>
      </w:pPr>
      <w:r>
        <w:t>10.5 Ransomware Resilience</w:t>
      </w:r>
    </w:p>
    <w:p>
      <w:pPr>
        <w:pStyle w:val="ListBullet"/>
      </w:pPr>
      <w:r>
        <w:t>Maintain multiple backup copies using logically or physically separated storage.</w:t>
      </w:r>
    </w:p>
    <w:p>
      <w:pPr>
        <w:pStyle w:val="ListBullet"/>
      </w:pPr>
      <w:r>
        <w:t>Keep at least one backup protected from routine administrator credentials and ransomware propagation.</w:t>
      </w:r>
    </w:p>
    <w:p>
      <w:pPr>
        <w:pStyle w:val="ListBullet"/>
      </w:pPr>
      <w:r>
        <w:t>Test restoration regularly instead of only checking whether backups exist.</w:t>
      </w:r>
    </w:p>
    <w:p>
      <w:pPr>
        <w:pStyle w:val="ListBullet"/>
      </w:pPr>
      <w:r>
        <w:t>Segment backup infrastructure and monitor attempts to delete or alter backups.</w:t>
      </w:r>
    </w:p>
    <w:p>
      <w:pPr>
        <w:pStyle w:val="ListBullet"/>
      </w:pPr>
      <w:r>
        <w:t>Conduct tabletop exercises for ransomware scenarios.</w:t>
      </w:r>
    </w:p>
    <w:p>
      <w:pPr>
        <w:pStyle w:val="Heading2"/>
      </w:pPr>
      <w:r>
        <w:t>10.6 Supply-Chain and Third-Party Security</w:t>
      </w:r>
    </w:p>
    <w:p>
      <w:pPr>
        <w:pStyle w:val="ListBullet"/>
      </w:pPr>
      <w:r>
        <w:t>Assess critical suppliers before onboarding and periodically afterward.</w:t>
      </w:r>
    </w:p>
    <w:p>
      <w:pPr>
        <w:pStyle w:val="ListBullet"/>
      </w:pPr>
      <w:r>
        <w:t>Minimize vendor permissions and limit remote access windows.</w:t>
      </w:r>
    </w:p>
    <w:p>
      <w:pPr>
        <w:pStyle w:val="ListBullet"/>
      </w:pPr>
      <w:r>
        <w:t>Monitor privileged vendor accounts and software update behavior.</w:t>
      </w:r>
    </w:p>
    <w:p>
      <w:pPr>
        <w:pStyle w:val="ListBullet"/>
      </w:pPr>
      <w:r>
        <w:t>Maintain a software bill of materials (SBOM) for important applications where practical.</w:t>
      </w:r>
    </w:p>
    <w:p>
      <w:pPr>
        <w:pStyle w:val="ListBullet"/>
      </w:pPr>
      <w:r>
        <w:t>Prepare fallback procedures for critical third-party outages.</w:t>
      </w:r>
    </w:p>
    <w:p>
      <w:pPr>
        <w:pStyle w:val="Heading2"/>
      </w:pPr>
      <w:r>
        <w:t>10.7 Employee Security Awareness</w:t>
      </w:r>
    </w:p>
    <w:p>
      <w:pPr>
        <w:pStyle w:val="ListBullet"/>
      </w:pPr>
      <w:r>
        <w:t>Conduct regular phishing and social-engineering awareness exercises.</w:t>
      </w:r>
    </w:p>
    <w:p>
      <w:pPr>
        <w:pStyle w:val="ListBullet"/>
      </w:pPr>
      <w:r>
        <w:t>Teach employees to verify urgent financial, password and access requests.</w:t>
      </w:r>
    </w:p>
    <w:p>
      <w:pPr>
        <w:pStyle w:val="ListBullet"/>
      </w:pPr>
      <w:r>
        <w:t>Provide a simple reporting button or process for suspicious messages.</w:t>
      </w:r>
    </w:p>
    <w:p>
      <w:pPr>
        <w:pStyle w:val="ListBullet"/>
      </w:pPr>
      <w:r>
        <w:t>Train staff not to open unexpected attachments or execute scripts from messaging platforms.</w:t>
      </w:r>
    </w:p>
    <w:p>
      <w:pPr>
        <w:pStyle w:val="Heading2"/>
      </w:pPr>
      <w:r>
        <w:t>10.8 Incident Response and Recovery</w:t>
      </w:r>
    </w:p>
    <w:p>
      <w:pPr>
        <w:pStyle w:val="ListBullet"/>
      </w:pPr>
      <w:r>
        <w:t>Maintain an incident response plan with clear roles and escalation paths.</w:t>
      </w:r>
    </w:p>
    <w:p>
      <w:pPr>
        <w:pStyle w:val="ListBullet"/>
      </w:pPr>
      <w:r>
        <w:t>Define evidence-preservation and logging requirements.</w:t>
      </w:r>
    </w:p>
    <w:p>
      <w:pPr>
        <w:pStyle w:val="ListBullet"/>
      </w:pPr>
      <w:r>
        <w:t>Exercise the plan using ransomware, account compromise and data breach scenarios.</w:t>
      </w:r>
    </w:p>
    <w:p>
      <w:pPr>
        <w:pStyle w:val="ListBullet"/>
      </w:pPr>
      <w:r>
        <w:t>Maintain communication procedures for management, legal teams, customers, regulators and relevant authorities.</w:t>
      </w:r>
    </w:p>
    <w:p>
      <w:pPr>
        <w:pStyle w:val="ListBullet"/>
      </w:pPr>
      <w:r>
        <w:t>For organizations operating in India, understand applicable CERT-In incident reporting requirements; CERT-In directions require covered cyber incidents to be reported within the specified six-hour window.</w:t>
      </w:r>
    </w:p>
    <w:p>
      <w:pPr>
        <w:pStyle w:val="Heading1"/>
      </w:pPr>
      <w:r>
        <w:t>11. Cybersecurity Analyst's Practical Workflow</w:t>
      </w:r>
    </w:p>
    <w:p>
      <w:pPr>
        <w:pStyle w:val="ListNumber"/>
      </w:pPr>
      <w:r>
        <w:t>Start with asset visibility: identify what the organization owns and what is exposed.</w:t>
      </w:r>
    </w:p>
    <w:p>
      <w:pPr>
        <w:pStyle w:val="ListNumber"/>
      </w:pPr>
      <w:r>
        <w:t>Review current threat intelligence and identify threats relevant to the organization's industry.</w:t>
      </w:r>
    </w:p>
    <w:p>
      <w:pPr>
        <w:pStyle w:val="ListNumber"/>
      </w:pPr>
      <w:r>
        <w:t>Map threats to assets, identities and business processes.</w:t>
      </w:r>
    </w:p>
    <w:p>
      <w:pPr>
        <w:pStyle w:val="ListNumber"/>
      </w:pPr>
      <w:r>
        <w:t>Prioritize vulnerabilities using exploitability, exposure, asset criticality and available controls.</w:t>
      </w:r>
    </w:p>
    <w:p>
      <w:pPr>
        <w:pStyle w:val="ListNumber"/>
      </w:pPr>
      <w:r>
        <w:t>Monitor logs for indicators related to the prioritized threats.</w:t>
      </w:r>
    </w:p>
    <w:p>
      <w:pPr>
        <w:pStyle w:val="ListNumber"/>
      </w:pPr>
      <w:r>
        <w:t>Investigate alerts by building a timeline of user, endpoint, network and cloud activity.</w:t>
      </w:r>
    </w:p>
    <w:p>
      <w:pPr>
        <w:pStyle w:val="ListNumber"/>
      </w:pPr>
      <w:r>
        <w:t>Contain confirmed incidents quickly while preserving evidence.</w:t>
      </w:r>
    </w:p>
    <w:p>
      <w:pPr>
        <w:pStyle w:val="ListNumber"/>
      </w:pPr>
      <w:r>
        <w:t>Eradicate persistence, reset compromised credentials and remove malicious access.</w:t>
      </w:r>
    </w:p>
    <w:p>
      <w:pPr>
        <w:pStyle w:val="ListNumber"/>
      </w:pPr>
      <w:r>
        <w:t>Recover from trusted systems and validate that security gaps have been closed.</w:t>
      </w:r>
    </w:p>
    <w:p>
      <w:pPr>
        <w:pStyle w:val="ListNumber"/>
      </w:pPr>
      <w:r>
        <w:t>Document lessons learned and update detections, controls and risk assessments.</w:t>
      </w:r>
    </w:p>
    <w:p>
      <w:pPr>
        <w:pStyle w:val="Heading1"/>
      </w:pPr>
      <w:r>
        <w:t>12. Suggested 30–35 Hour Work Plan for Week 1</w:t>
      </w:r>
    </w:p>
    <w:tbl>
      <w:tblPr>
        <w:tblStyle w:val="TableGrid"/>
        <w:tblW w:type="auto" w:w="0"/>
        <w:jc w:val="center"/>
        <w:tblLook w:firstColumn="1" w:firstRow="1" w:lastColumn="0" w:lastRow="0" w:noHBand="0" w:noVBand="1" w:val="04A0"/>
      </w:tblPr>
      <w:tblGrid>
        <w:gridCol w:w="3312"/>
        <w:gridCol w:w="3312"/>
        <w:gridCol w:w="3312"/>
      </w:tblGrid>
      <w:tr>
        <w:tc>
          <w:tcPr>
            <w:tcW w:type="dxa" w:w="4320"/>
            <w:vAlign w:val="center"/>
            <w:shd w:fill="D9EAF7"/>
          </w:tcPr>
          <w:p>
            <w:r/>
            <w:r>
              <w:rPr>
                <w:rFonts w:ascii="Arial" w:hAnsi="Arial"/>
                <w:b/>
                <w:sz w:val="18"/>
              </w:rPr>
              <w:t>Activity</w:t>
            </w:r>
          </w:p>
        </w:tc>
        <w:tc>
          <w:tcPr>
            <w:tcW w:type="dxa" w:w="1872"/>
            <w:vAlign w:val="center"/>
            <w:shd w:fill="D9EAF7"/>
          </w:tcPr>
          <w:p>
            <w:r/>
            <w:r>
              <w:rPr>
                <w:rFonts w:ascii="Arial" w:hAnsi="Arial"/>
                <w:b/>
                <w:sz w:val="18"/>
              </w:rPr>
              <w:t>Suggested Hours</w:t>
            </w:r>
          </w:p>
        </w:tc>
        <w:tc>
          <w:tcPr>
            <w:tcW w:type="dxa" w:w="4320"/>
            <w:vAlign w:val="center"/>
            <w:shd w:fill="D9EAF7"/>
          </w:tcPr>
          <w:p>
            <w:r/>
            <w:r>
              <w:rPr>
                <w:rFonts w:ascii="Arial" w:hAnsi="Arial"/>
                <w:b/>
                <w:sz w:val="18"/>
              </w:rPr>
              <w:t>Output</w:t>
            </w:r>
          </w:p>
        </w:tc>
      </w:tr>
      <w:tr>
        <w:tc>
          <w:tcPr>
            <w:tcW w:type="dxa" w:w="4320"/>
            <w:vAlign w:val="center"/>
          </w:tcPr>
          <w:p>
            <w:r/>
            <w:r>
              <w:rPr>
                <w:rFonts w:ascii="Arial" w:hAnsi="Arial"/>
                <w:b w:val="0"/>
                <w:sz w:val="18"/>
              </w:rPr>
              <w:t>Understand task and define scope</w:t>
            </w:r>
          </w:p>
        </w:tc>
        <w:tc>
          <w:tcPr>
            <w:tcW w:type="dxa" w:w="1872"/>
            <w:vAlign w:val="center"/>
          </w:tcPr>
          <w:p>
            <w:r/>
            <w:r>
              <w:rPr>
                <w:rFonts w:ascii="Arial" w:hAnsi="Arial"/>
                <w:b w:val="0"/>
                <w:sz w:val="18"/>
              </w:rPr>
              <w:t>1–2</w:t>
            </w:r>
          </w:p>
        </w:tc>
        <w:tc>
          <w:tcPr>
            <w:tcW w:type="dxa" w:w="4320"/>
            <w:vAlign w:val="center"/>
          </w:tcPr>
          <w:p>
            <w:r/>
            <w:r>
              <w:rPr>
                <w:rFonts w:ascii="Arial" w:hAnsi="Arial"/>
                <w:b w:val="0"/>
                <w:sz w:val="18"/>
              </w:rPr>
              <w:t>Scope and objectives</w:t>
            </w:r>
          </w:p>
        </w:tc>
      </w:tr>
      <w:tr>
        <w:tc>
          <w:tcPr>
            <w:tcW w:type="dxa" w:w="4320"/>
            <w:vAlign w:val="center"/>
          </w:tcPr>
          <w:p>
            <w:r/>
            <w:r>
              <w:rPr>
                <w:rFonts w:ascii="Arial" w:hAnsi="Arial"/>
                <w:b w:val="0"/>
                <w:sz w:val="18"/>
              </w:rPr>
              <w:t>Collect authoritative threat reports</w:t>
            </w:r>
          </w:p>
        </w:tc>
        <w:tc>
          <w:tcPr>
            <w:tcW w:type="dxa" w:w="1872"/>
            <w:vAlign w:val="center"/>
          </w:tcPr>
          <w:p>
            <w:r/>
            <w:r>
              <w:rPr>
                <w:rFonts w:ascii="Arial" w:hAnsi="Arial"/>
                <w:b w:val="0"/>
                <w:sz w:val="18"/>
              </w:rPr>
              <w:t>4–5</w:t>
            </w:r>
          </w:p>
        </w:tc>
        <w:tc>
          <w:tcPr>
            <w:tcW w:type="dxa" w:w="4320"/>
            <w:vAlign w:val="center"/>
          </w:tcPr>
          <w:p>
            <w:r/>
            <w:r>
              <w:rPr>
                <w:rFonts w:ascii="Arial" w:hAnsi="Arial"/>
                <w:b w:val="0"/>
                <w:sz w:val="18"/>
              </w:rPr>
              <w:t>Source list</w:t>
            </w:r>
          </w:p>
        </w:tc>
      </w:tr>
      <w:tr>
        <w:tc>
          <w:tcPr>
            <w:tcW w:type="dxa" w:w="4320"/>
            <w:vAlign w:val="center"/>
          </w:tcPr>
          <w:p>
            <w:r/>
            <w:r>
              <w:rPr>
                <w:rFonts w:ascii="Arial" w:hAnsi="Arial"/>
                <w:b w:val="0"/>
                <w:sz w:val="18"/>
              </w:rPr>
              <w:t>Research major threats</w:t>
            </w:r>
          </w:p>
        </w:tc>
        <w:tc>
          <w:tcPr>
            <w:tcW w:type="dxa" w:w="1872"/>
            <w:vAlign w:val="center"/>
          </w:tcPr>
          <w:p>
            <w:r/>
            <w:r>
              <w:rPr>
                <w:rFonts w:ascii="Arial" w:hAnsi="Arial"/>
                <w:b w:val="0"/>
                <w:sz w:val="18"/>
              </w:rPr>
              <w:t>7–8</w:t>
            </w:r>
          </w:p>
        </w:tc>
        <w:tc>
          <w:tcPr>
            <w:tcW w:type="dxa" w:w="4320"/>
            <w:vAlign w:val="center"/>
          </w:tcPr>
          <w:p>
            <w:r/>
            <w:r>
              <w:rPr>
                <w:rFonts w:ascii="Arial" w:hAnsi="Arial"/>
                <w:b w:val="0"/>
                <w:sz w:val="18"/>
              </w:rPr>
              <w:t>Threat notes</w:t>
            </w:r>
          </w:p>
        </w:tc>
      </w:tr>
      <w:tr>
        <w:tc>
          <w:tcPr>
            <w:tcW w:type="dxa" w:w="4320"/>
            <w:vAlign w:val="center"/>
          </w:tcPr>
          <w:p>
            <w:r/>
            <w:r>
              <w:rPr>
                <w:rFonts w:ascii="Arial" w:hAnsi="Arial"/>
                <w:b w:val="0"/>
                <w:sz w:val="18"/>
              </w:rPr>
              <w:t>Research attack vectors and TTPs</w:t>
            </w:r>
          </w:p>
        </w:tc>
        <w:tc>
          <w:tcPr>
            <w:tcW w:type="dxa" w:w="1872"/>
            <w:vAlign w:val="center"/>
          </w:tcPr>
          <w:p>
            <w:r/>
            <w:r>
              <w:rPr>
                <w:rFonts w:ascii="Arial" w:hAnsi="Arial"/>
                <w:b w:val="0"/>
                <w:sz w:val="18"/>
              </w:rPr>
              <w:t>5–6</w:t>
            </w:r>
          </w:p>
        </w:tc>
        <w:tc>
          <w:tcPr>
            <w:tcW w:type="dxa" w:w="4320"/>
            <w:vAlign w:val="center"/>
          </w:tcPr>
          <w:p>
            <w:r/>
            <w:r>
              <w:rPr>
                <w:rFonts w:ascii="Arial" w:hAnsi="Arial"/>
                <w:b w:val="0"/>
                <w:sz w:val="18"/>
              </w:rPr>
              <w:t>Attack-vector matrix</w:t>
            </w:r>
          </w:p>
        </w:tc>
      </w:tr>
      <w:tr>
        <w:tc>
          <w:tcPr>
            <w:tcW w:type="dxa" w:w="4320"/>
            <w:vAlign w:val="center"/>
          </w:tcPr>
          <w:p>
            <w:r/>
            <w:r>
              <w:rPr>
                <w:rFonts w:ascii="Arial" w:hAnsi="Arial"/>
                <w:b w:val="0"/>
                <w:sz w:val="18"/>
              </w:rPr>
              <w:t>Analyze organizational impacts</w:t>
            </w:r>
          </w:p>
        </w:tc>
        <w:tc>
          <w:tcPr>
            <w:tcW w:type="dxa" w:w="1872"/>
            <w:vAlign w:val="center"/>
          </w:tcPr>
          <w:p>
            <w:r/>
            <w:r>
              <w:rPr>
                <w:rFonts w:ascii="Arial" w:hAnsi="Arial"/>
                <w:b w:val="0"/>
                <w:sz w:val="18"/>
              </w:rPr>
              <w:t>3–4</w:t>
            </w:r>
          </w:p>
        </w:tc>
        <w:tc>
          <w:tcPr>
            <w:tcW w:type="dxa" w:w="4320"/>
            <w:vAlign w:val="center"/>
          </w:tcPr>
          <w:p>
            <w:r/>
            <w:r>
              <w:rPr>
                <w:rFonts w:ascii="Arial" w:hAnsi="Arial"/>
                <w:b w:val="0"/>
                <w:sz w:val="18"/>
              </w:rPr>
              <w:t>Impact assessment</w:t>
            </w:r>
          </w:p>
        </w:tc>
      </w:tr>
      <w:tr>
        <w:tc>
          <w:tcPr>
            <w:tcW w:type="dxa" w:w="4320"/>
            <w:vAlign w:val="center"/>
          </w:tcPr>
          <w:p>
            <w:r/>
            <w:r>
              <w:rPr>
                <w:rFonts w:ascii="Arial" w:hAnsi="Arial"/>
                <w:b w:val="0"/>
                <w:sz w:val="18"/>
              </w:rPr>
              <w:t>Create risk prioritization</w:t>
            </w:r>
          </w:p>
        </w:tc>
        <w:tc>
          <w:tcPr>
            <w:tcW w:type="dxa" w:w="1872"/>
            <w:vAlign w:val="center"/>
          </w:tcPr>
          <w:p>
            <w:r/>
            <w:r>
              <w:rPr>
                <w:rFonts w:ascii="Arial" w:hAnsi="Arial"/>
                <w:b w:val="0"/>
                <w:sz w:val="18"/>
              </w:rPr>
              <w:t>2–3</w:t>
            </w:r>
          </w:p>
        </w:tc>
        <w:tc>
          <w:tcPr>
            <w:tcW w:type="dxa" w:w="4320"/>
            <w:vAlign w:val="center"/>
          </w:tcPr>
          <w:p>
            <w:r/>
            <w:r>
              <w:rPr>
                <w:rFonts w:ascii="Arial" w:hAnsi="Arial"/>
                <w:b w:val="0"/>
                <w:sz w:val="18"/>
              </w:rPr>
              <w:t>Risk matrix</w:t>
            </w:r>
          </w:p>
        </w:tc>
      </w:tr>
      <w:tr>
        <w:tc>
          <w:tcPr>
            <w:tcW w:type="dxa" w:w="4320"/>
            <w:vAlign w:val="center"/>
          </w:tcPr>
          <w:p>
            <w:r/>
            <w:r>
              <w:rPr>
                <w:rFonts w:ascii="Arial" w:hAnsi="Arial"/>
                <w:b w:val="0"/>
                <w:sz w:val="18"/>
              </w:rPr>
              <w:t>Develop recommendations</w:t>
            </w:r>
          </w:p>
        </w:tc>
        <w:tc>
          <w:tcPr>
            <w:tcW w:type="dxa" w:w="1872"/>
            <w:vAlign w:val="center"/>
          </w:tcPr>
          <w:p>
            <w:r/>
            <w:r>
              <w:rPr>
                <w:rFonts w:ascii="Arial" w:hAnsi="Arial"/>
                <w:b w:val="0"/>
                <w:sz w:val="18"/>
              </w:rPr>
              <w:t>3–4</w:t>
            </w:r>
          </w:p>
        </w:tc>
        <w:tc>
          <w:tcPr>
            <w:tcW w:type="dxa" w:w="4320"/>
            <w:vAlign w:val="center"/>
          </w:tcPr>
          <w:p>
            <w:r/>
            <w:r>
              <w:rPr>
                <w:rFonts w:ascii="Arial" w:hAnsi="Arial"/>
                <w:b w:val="0"/>
                <w:sz w:val="18"/>
              </w:rPr>
              <w:t>Security controls</w:t>
            </w:r>
          </w:p>
        </w:tc>
      </w:tr>
      <w:tr>
        <w:tc>
          <w:tcPr>
            <w:tcW w:type="dxa" w:w="4320"/>
            <w:vAlign w:val="center"/>
          </w:tcPr>
          <w:p>
            <w:r/>
            <w:r>
              <w:rPr>
                <w:rFonts w:ascii="Arial" w:hAnsi="Arial"/>
                <w:b w:val="0"/>
                <w:sz w:val="18"/>
              </w:rPr>
              <w:t>Write, format and proofread report</w:t>
            </w:r>
          </w:p>
        </w:tc>
        <w:tc>
          <w:tcPr>
            <w:tcW w:type="dxa" w:w="1872"/>
            <w:vAlign w:val="center"/>
          </w:tcPr>
          <w:p>
            <w:r/>
            <w:r>
              <w:rPr>
                <w:rFonts w:ascii="Arial" w:hAnsi="Arial"/>
                <w:b w:val="0"/>
                <w:sz w:val="18"/>
              </w:rPr>
              <w:t>4–5</w:t>
            </w:r>
          </w:p>
        </w:tc>
        <w:tc>
          <w:tcPr>
            <w:tcW w:type="dxa" w:w="4320"/>
            <w:vAlign w:val="center"/>
          </w:tcPr>
          <w:p>
            <w:r/>
            <w:r>
              <w:rPr>
                <w:rFonts w:ascii="Arial" w:hAnsi="Arial"/>
                <w:b w:val="0"/>
                <w:sz w:val="18"/>
              </w:rPr>
              <w:t>Final DOC report</w:t>
            </w:r>
          </w:p>
        </w:tc>
      </w:tr>
      <w:tr>
        <w:tc>
          <w:tcPr>
            <w:tcW w:type="dxa" w:w="4320"/>
            <w:vAlign w:val="center"/>
          </w:tcPr>
          <w:p>
            <w:r/>
            <w:r>
              <w:rPr>
                <w:rFonts w:ascii="Arial" w:hAnsi="Arial"/>
                <w:b w:val="0"/>
                <w:sz w:val="18"/>
              </w:rPr>
              <w:t>Final source verification</w:t>
            </w:r>
          </w:p>
        </w:tc>
        <w:tc>
          <w:tcPr>
            <w:tcW w:type="dxa" w:w="1872"/>
            <w:vAlign w:val="center"/>
          </w:tcPr>
          <w:p>
            <w:r/>
            <w:r>
              <w:rPr>
                <w:rFonts w:ascii="Arial" w:hAnsi="Arial"/>
                <w:b w:val="0"/>
                <w:sz w:val="18"/>
              </w:rPr>
              <w:t>1</w:t>
            </w:r>
          </w:p>
        </w:tc>
        <w:tc>
          <w:tcPr>
            <w:tcW w:type="dxa" w:w="4320"/>
            <w:vAlign w:val="center"/>
          </w:tcPr>
          <w:p>
            <w:r/>
            <w:r>
              <w:rPr>
                <w:rFonts w:ascii="Arial" w:hAnsi="Arial"/>
                <w:b w:val="0"/>
                <w:sz w:val="18"/>
              </w:rPr>
              <w:t>Verified references</w:t>
            </w:r>
          </w:p>
        </w:tc>
      </w:tr>
    </w:tbl>
    <w:p/>
    <w:p>
      <w:pPr>
        <w:pStyle w:val="Heading1"/>
      </w:pPr>
      <w:r>
        <w:t>13. How This Report Meets the Internship Evaluation Criteria</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rFonts w:ascii="Arial" w:hAnsi="Arial"/>
                <w:b/>
                <w:sz w:val="18"/>
              </w:rPr>
              <w:t>Evaluation Criterion</w:t>
            </w:r>
          </w:p>
        </w:tc>
        <w:tc>
          <w:tcPr>
            <w:tcW w:type="dxa" w:w="7632"/>
            <w:vAlign w:val="center"/>
            <w:shd w:fill="D9EAF7"/>
          </w:tcPr>
          <w:p>
            <w:r/>
            <w:r>
              <w:rPr>
                <w:rFonts w:ascii="Arial" w:hAnsi="Arial"/>
                <w:b/>
                <w:sz w:val="18"/>
              </w:rPr>
              <w:t>How the Report Addresses It</w:t>
            </w:r>
          </w:p>
        </w:tc>
      </w:tr>
      <w:tr>
        <w:tc>
          <w:tcPr>
            <w:tcW w:type="dxa" w:w="2880"/>
            <w:vAlign w:val="center"/>
          </w:tcPr>
          <w:p>
            <w:r/>
            <w:r>
              <w:rPr>
                <w:rFonts w:ascii="Arial" w:hAnsi="Arial"/>
                <w:b w:val="0"/>
                <w:sz w:val="18"/>
              </w:rPr>
              <w:t>Depth of research</w:t>
            </w:r>
          </w:p>
        </w:tc>
        <w:tc>
          <w:tcPr>
            <w:tcW w:type="dxa" w:w="7632"/>
            <w:vAlign w:val="center"/>
          </w:tcPr>
          <w:p>
            <w:r/>
            <w:r>
              <w:rPr>
                <w:rFonts w:ascii="Arial" w:hAnsi="Arial"/>
                <w:b w:val="0"/>
                <w:sz w:val="18"/>
              </w:rPr>
              <w:t>Uses recent 2026 and 2025 findings from Verizon, IBM, ENISA, Google Cloud/Mandiant, CERT-In and CISA.</w:t>
            </w:r>
          </w:p>
        </w:tc>
      </w:tr>
      <w:tr>
        <w:tc>
          <w:tcPr>
            <w:tcW w:type="dxa" w:w="2880"/>
            <w:vAlign w:val="center"/>
          </w:tcPr>
          <w:p>
            <w:r/>
            <w:r>
              <w:rPr>
                <w:rFonts w:ascii="Arial" w:hAnsi="Arial"/>
                <w:b w:val="0"/>
                <w:sz w:val="18"/>
              </w:rPr>
              <w:t>Clarity of analysis</w:t>
            </w:r>
          </w:p>
        </w:tc>
        <w:tc>
          <w:tcPr>
            <w:tcW w:type="dxa" w:w="7632"/>
            <w:vAlign w:val="center"/>
          </w:tcPr>
          <w:p>
            <w:r/>
            <w:r>
              <w:rPr>
                <w:rFonts w:ascii="Arial" w:hAnsi="Arial"/>
                <w:b w:val="0"/>
                <w:sz w:val="18"/>
              </w:rPr>
              <w:t>Threats are explained using simple definitions, trends, attack vectors and business impact.</w:t>
            </w:r>
          </w:p>
        </w:tc>
      </w:tr>
      <w:tr>
        <w:tc>
          <w:tcPr>
            <w:tcW w:type="dxa" w:w="2880"/>
            <w:vAlign w:val="center"/>
          </w:tcPr>
          <w:p>
            <w:r/>
            <w:r>
              <w:rPr>
                <w:rFonts w:ascii="Arial" w:hAnsi="Arial"/>
                <w:b w:val="0"/>
                <w:sz w:val="18"/>
              </w:rPr>
              <w:t>Comprehensiveness</w:t>
            </w:r>
          </w:p>
        </w:tc>
        <w:tc>
          <w:tcPr>
            <w:tcW w:type="dxa" w:w="7632"/>
            <w:vAlign w:val="center"/>
          </w:tcPr>
          <w:p>
            <w:r/>
            <w:r>
              <w:rPr>
                <w:rFonts w:ascii="Arial" w:hAnsi="Arial"/>
                <w:b w:val="0"/>
                <w:sz w:val="18"/>
              </w:rPr>
              <w:t>Covers ransomware, vulnerabilities, identity, social engineering, supply chain, cloud, AI, DDoS, mobile threats and insider risk.</w:t>
            </w:r>
          </w:p>
        </w:tc>
      </w:tr>
      <w:tr>
        <w:tc>
          <w:tcPr>
            <w:tcW w:type="dxa" w:w="2880"/>
            <w:vAlign w:val="center"/>
          </w:tcPr>
          <w:p>
            <w:r/>
            <w:r>
              <w:rPr>
                <w:rFonts w:ascii="Arial" w:hAnsi="Arial"/>
                <w:b w:val="0"/>
                <w:sz w:val="18"/>
              </w:rPr>
              <w:t>Practical value</w:t>
            </w:r>
          </w:p>
        </w:tc>
        <w:tc>
          <w:tcPr>
            <w:tcW w:type="dxa" w:w="7632"/>
            <w:vAlign w:val="center"/>
          </w:tcPr>
          <w:p>
            <w:r/>
            <w:r>
              <w:rPr>
                <w:rFonts w:ascii="Arial" w:hAnsi="Arial"/>
                <w:b w:val="0"/>
                <w:sz w:val="18"/>
              </w:rPr>
              <w:t>Provides prioritized controls, a risk matrix, analyst workflow and a 30–35 hour completion plan.</w:t>
            </w:r>
          </w:p>
        </w:tc>
      </w:tr>
      <w:tr>
        <w:tc>
          <w:tcPr>
            <w:tcW w:type="dxa" w:w="2880"/>
            <w:vAlign w:val="center"/>
          </w:tcPr>
          <w:p>
            <w:r/>
            <w:r>
              <w:rPr>
                <w:rFonts w:ascii="Arial" w:hAnsi="Arial"/>
                <w:b w:val="0"/>
                <w:sz w:val="18"/>
              </w:rPr>
              <w:t>Current relevance</w:t>
            </w:r>
          </w:p>
        </w:tc>
        <w:tc>
          <w:tcPr>
            <w:tcW w:type="dxa" w:w="7632"/>
            <w:vAlign w:val="center"/>
          </w:tcPr>
          <w:p>
            <w:r/>
            <w:r>
              <w:rPr>
                <w:rFonts w:ascii="Arial" w:hAnsi="Arial"/>
                <w:b w:val="0"/>
                <w:sz w:val="18"/>
              </w:rPr>
              <w:t>Includes 2026 threat intelligence and an India-specific CERT-In example.</w:t>
            </w:r>
          </w:p>
        </w:tc>
      </w:tr>
    </w:tbl>
    <w:p/>
    <w:p>
      <w:pPr>
        <w:pStyle w:val="Heading1"/>
      </w:pPr>
      <w:r>
        <w:t>14. Conclusion</w:t>
      </w:r>
    </w:p>
    <w:p>
      <w:r>
        <w:t>The 2026 cybersecurity threat landscape shows that attackers are becoming faster, more scalable and more dependent on identity, exposed systems and trusted relationships. Vulnerability exploitation, ransomware, credential compromise, social engineering, supply-chain compromise and cloud abuse remain major risks. AI is increasing the speed and scale of several of these activities rather than replacing them.</w:t>
      </w:r>
    </w:p>
    <w:p>
      <w:r>
        <w:t>For a cybersecurity analyst, the most important lesson is to focus on reducing practical attack paths. Organizations should know their assets, secure identities, patch exposed systems quickly, monitor critical activity, limit privileges, protect third-party connections, and maintain reliable recovery capabilities. Security should be treated as a continuous process of identify, protect, detect, respond and recover rather than a one-time installation of security software.</w:t>
      </w:r>
    </w:p>
    <w:p>
      <w:r>
        <w:t>A strong threat landscape analysis therefore connects threat intelligence with business risk. The goal is not merely to list cyberattacks, but to explain which threats are most relevant, how they can enter an organization, what they can affect, and which controls should receive priority.</w:t>
      </w:r>
    </w:p>
    <w:p>
      <w:pPr>
        <w:pStyle w:val="Heading1"/>
      </w:pPr>
      <w:r>
        <w:t>15. References</w:t>
      </w:r>
    </w:p>
    <w:p>
      <w:pPr>
        <w:spacing w:after="100"/>
      </w:pPr>
      <w:r>
        <w:rPr>
          <w:b/>
        </w:rPr>
        <w:t xml:space="preserve">[1] Verizon – </w:t>
      </w:r>
      <w:r>
        <w:t xml:space="preserve">2026 Data Breach Investigations Report (DBIR). </w:t>
      </w:r>
      <w:r>
        <w:rPr>
          <w:sz w:val="17"/>
        </w:rPr>
        <w:t>https://www.verizon.com/business/resources/reports/dbir/</w:t>
      </w:r>
    </w:p>
    <w:p>
      <w:pPr>
        <w:spacing w:after="100"/>
      </w:pPr>
      <w:r>
        <w:rPr>
          <w:b/>
        </w:rPr>
        <w:t xml:space="preserve">[2] Verizon – </w:t>
      </w:r>
      <w:r>
        <w:t xml:space="preserve">2025 Data Breach Investigations Report and supporting research. </w:t>
      </w:r>
      <w:r>
        <w:rPr>
          <w:sz w:val="17"/>
        </w:rPr>
        <w:t>https://www.verizon.com/business/resources/reports/dbir/</w:t>
      </w:r>
    </w:p>
    <w:p>
      <w:pPr>
        <w:spacing w:after="100"/>
      </w:pPr>
      <w:r>
        <w:rPr>
          <w:b/>
        </w:rPr>
        <w:t xml:space="preserve">[3] IBM X-Force – </w:t>
      </w:r>
      <w:r>
        <w:t xml:space="preserve">2026 X-Force Threat Intelligence Index. </w:t>
      </w:r>
      <w:r>
        <w:rPr>
          <w:sz w:val="17"/>
        </w:rPr>
        <w:t>https://www.ibm.com/think/x-force/threat-intelligence-index-2026-securing-identities-ai-detection-risk-management</w:t>
      </w:r>
    </w:p>
    <w:p>
      <w:pPr>
        <w:spacing w:after="100"/>
      </w:pPr>
      <w:r>
        <w:rPr>
          <w:b/>
        </w:rPr>
        <w:t xml:space="preserve">[4] ENISA – </w:t>
      </w:r>
      <w:r>
        <w:t xml:space="preserve">ENISA Threat Landscape 2025. </w:t>
      </w:r>
      <w:r>
        <w:rPr>
          <w:sz w:val="17"/>
        </w:rPr>
        <w:t>https://www.enisa.europa.eu/publications/enisa-threat-landscape-2025</w:t>
      </w:r>
    </w:p>
    <w:p>
      <w:pPr>
        <w:spacing w:after="100"/>
      </w:pPr>
      <w:r>
        <w:rPr>
          <w:b/>
        </w:rPr>
        <w:t xml:space="preserve">[5] ENISA – </w:t>
      </w:r>
      <w:r>
        <w:t xml:space="preserve">EU consistently targeted by diverse yet convergent threat groups – Threat Landscape 2025 highlights. </w:t>
      </w:r>
      <w:r>
        <w:rPr>
          <w:sz w:val="17"/>
        </w:rPr>
        <w:t>https://www.enisa.europa.eu/news/etl-2025-eu-consistently-targeted-by-diverse-yet-convergent-threat-groups</w:t>
      </w:r>
    </w:p>
    <w:p>
      <w:pPr>
        <w:spacing w:after="100"/>
      </w:pPr>
      <w:r>
        <w:rPr>
          <w:b/>
        </w:rPr>
        <w:t xml:space="preserve">[6] Google Cloud / Mandiant – </w:t>
      </w:r>
      <w:r>
        <w:t xml:space="preserve">M-Trends 2026 Executive Edition. </w:t>
      </w:r>
      <w:r>
        <w:rPr>
          <w:sz w:val="17"/>
        </w:rPr>
        <w:t>https://cloud.google.com/security/resources/m-trends-executive-edition</w:t>
      </w:r>
    </w:p>
    <w:p>
      <w:pPr>
        <w:spacing w:after="100"/>
      </w:pPr>
      <w:r>
        <w:rPr>
          <w:b/>
        </w:rPr>
        <w:t xml:space="preserve">[7] Google Cloud – </w:t>
      </w:r>
      <w:r>
        <w:t xml:space="preserve">Cloud Threat Horizons Report – H1 2026. </w:t>
      </w:r>
      <w:r>
        <w:rPr>
          <w:sz w:val="17"/>
        </w:rPr>
        <w:t>https://cloud.google.com/security/report/resources/cloud-threat-horizons-report-h1-2026</w:t>
      </w:r>
    </w:p>
    <w:p>
      <w:pPr>
        <w:spacing w:after="100"/>
      </w:pPr>
      <w:r>
        <w:rPr>
          <w:b/>
        </w:rPr>
        <w:t xml:space="preserve">[8] CERT-In – </w:t>
      </w:r>
      <w:r>
        <w:t xml:space="preserve">India Ransomware Report – Year 2024. </w:t>
      </w:r>
      <w:r>
        <w:rPr>
          <w:sz w:val="17"/>
        </w:rPr>
        <w:t>https://www.cert-in.org.in/PDF/RANSOMWARE_Report_2024.pdf</w:t>
      </w:r>
    </w:p>
    <w:p>
      <w:pPr>
        <w:spacing w:after="100"/>
      </w:pPr>
      <w:r>
        <w:rPr>
          <w:b/>
        </w:rPr>
        <w:t xml:space="preserve">[9] CERT-In – </w:t>
      </w:r>
      <w:r>
        <w:t xml:space="preserve">Digital Threat Report 2025–26 for BFSI sector. </w:t>
      </w:r>
      <w:r>
        <w:rPr>
          <w:sz w:val="17"/>
        </w:rPr>
        <w:t>https://www.cert-in.org.in/s2cMainServlet?pageid=WHTPVIEW01</w:t>
      </w:r>
    </w:p>
    <w:p>
      <w:pPr>
        <w:spacing w:after="100"/>
      </w:pPr>
      <w:r>
        <w:rPr>
          <w:b/>
        </w:rPr>
        <w:t xml:space="preserve">[10] CERT-In – </w:t>
      </w:r>
      <w:r>
        <w:t xml:space="preserve">Current Activities – Malware Campaign spreading through WhatsApp Attachments, June 2026. </w:t>
      </w:r>
      <w:r>
        <w:rPr>
          <w:sz w:val="17"/>
        </w:rPr>
        <w:t>https://www.cert-in.org.in/s2cMainServlet?pageid=PUBWEL03</w:t>
      </w:r>
    </w:p>
    <w:p>
      <w:pPr>
        <w:spacing w:after="100"/>
      </w:pPr>
      <w:r>
        <w:rPr>
          <w:b/>
        </w:rPr>
        <w:t xml:space="preserve">[11] CERT-In – </w:t>
      </w:r>
      <w:r>
        <w:t xml:space="preserve">Cyber Security Directions and FAQs; incident reporting requirements. </w:t>
      </w:r>
      <w:r>
        <w:rPr>
          <w:sz w:val="17"/>
        </w:rPr>
        <w:t>https://www.cert-in.org.in/Directions70B.jsp</w:t>
      </w:r>
    </w:p>
    <w:p>
      <w:pPr>
        <w:spacing w:after="100"/>
      </w:pPr>
      <w:r>
        <w:rPr>
          <w:b/>
        </w:rPr>
        <w:t xml:space="preserve">[12] CISA – </w:t>
      </w:r>
      <w:r>
        <w:t xml:space="preserve">Cross-Sector Cybersecurity Performance Goals. </w:t>
      </w:r>
      <w:r>
        <w:rPr>
          <w:sz w:val="17"/>
        </w:rPr>
        <w:t>https://www.cisa.gov/cybersecurity-performance-goals</w:t>
      </w:r>
    </w:p>
    <w:p>
      <w:pPr>
        <w:pStyle w:val="Heading1"/>
      </w:pPr>
      <w:r>
        <w:t>Appendix A – Quick Submission Checklist</w:t>
      </w:r>
    </w:p>
    <w:p>
      <w:pPr>
        <w:pStyle w:val="ListBullet"/>
      </w:pPr>
      <w:r>
        <w:t>Replace Muskan Kumari and B.Tech CSE in Cyber Security — Rungta College of Engineering and Technology, Bhilai on the cover page.</w:t>
      </w:r>
    </w:p>
    <w:p>
      <w:pPr>
        <w:pStyle w:val="ListBullet"/>
      </w:pPr>
      <w:r>
        <w:t>Read the report once and add any internship-specific formatting or logo required by the organization.</w:t>
      </w:r>
    </w:p>
    <w:p>
      <w:pPr>
        <w:pStyle w:val="ListBullet"/>
      </w:pPr>
      <w:r>
        <w:t>Check that headings, tables and references are visible after opening the DOCX.</w:t>
      </w:r>
    </w:p>
    <w:p>
      <w:pPr>
        <w:pStyle w:val="ListBullet"/>
      </w:pPr>
      <w:r>
        <w:t>If your mentor requires a specific citation style (APA/IEEE), convert the reference list accordingly.</w:t>
      </w:r>
    </w:p>
    <w:p>
      <w:pPr>
        <w:pStyle w:val="ListBullet"/>
      </w:pPr>
      <w:r>
        <w:t>Add your own observations from the internship portal or mentor instructions if they provide organization-specific requirements.</w:t>
      </w:r>
    </w:p>
    <w:p>
      <w:pPr>
        <w:pStyle w:val="ListBullet"/>
      </w:pPr>
      <w:r>
        <w:t>Submit the DOCX and keep a PDF copy for your records.</w:t>
      </w:r>
    </w:p>
    <w:p/>
    <w:p>
      <w:pPr>
        <w:jc w:val="center"/>
      </w:pPr>
      <w:r>
        <w:rPr>
          <w:b/>
        </w:rPr>
        <w:t>End of Week 1 Threat Landscape Analysis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Threat Landscape Analysis | 20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Cybersecurity Analyst Internship |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