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3 TASK</w:t>
      </w:r>
    </w:p>
    <w:p>
      <w:pPr>
        <w:jc w:val="center"/>
      </w:pPr>
      <w:r>
        <w:rPr>
          <w:b/>
          <w:sz w:val="52"/>
        </w:rPr>
        <w:t>SECURITY POLICY REVIEW</w:t>
      </w:r>
    </w:p>
    <w:p>
      <w:pPr>
        <w:jc w:val="center"/>
      </w:pPr>
      <w:r>
        <w:rPr>
          <w:i/>
          <w:sz w:val="26"/>
        </w:rPr>
        <w:t>Critical Review, Risk Assessment and Improvement Plan</w:t>
      </w:r>
    </w:p>
    <w:p/>
    <w:tbl>
      <w:tblPr>
        <w:tblStyle w:val="TableGrid"/>
        <w:tblW w:type="auto" w:w="0"/>
        <w:jc w:val="center"/>
        <w:tblLook w:firstColumn="1" w:firstRow="1" w:lastColumn="0" w:lastRow="0" w:noHBand="0" w:noVBand="1" w:val="04A0"/>
      </w:tblPr>
      <w:tblGrid>
        <w:gridCol w:w="4968"/>
        <w:gridCol w:w="4968"/>
      </w:tblGrid>
      <w:tr>
        <w:tc>
          <w:tcPr>
            <w:tcW w:type="dxa" w:w="3312"/>
            <w:vAlign w:val="center"/>
            <w:shd w:fill="D9E2F3"/>
          </w:tcPr>
          <w:p>
            <w:r/>
            <w:r>
              <w:rPr>
                <w:rFonts w:ascii="Aptos" w:hAnsi="Aptos"/>
                <w:b/>
                <w:sz w:val="18"/>
              </w:rPr>
              <w:t>Student / Academic Detail</w:t>
            </w:r>
          </w:p>
        </w:tc>
        <w:tc>
          <w:tcPr>
            <w:tcW w:type="dxa" w:w="5472"/>
            <w:vAlign w:val="center"/>
            <w:shd w:fill="D9E2F3"/>
          </w:tcPr>
          <w:p>
            <w:r/>
            <w:r>
              <w:rPr>
                <w:rFonts w:ascii="Aptos" w:hAnsi="Aptos"/>
                <w:b/>
                <w:sz w:val="18"/>
              </w:rPr>
              <w:t>Information</w:t>
            </w:r>
          </w:p>
        </w:tc>
      </w:tr>
      <w:tr>
        <w:tc>
          <w:tcPr>
            <w:tcW w:type="dxa" w:w="3312"/>
            <w:vAlign w:val="center"/>
          </w:tcPr>
          <w:p>
            <w:r/>
            <w:r>
              <w:rPr>
                <w:rFonts w:ascii="Aptos" w:hAnsi="Aptos"/>
                <w:b w:val="0"/>
                <w:sz w:val="18"/>
              </w:rPr>
              <w:t>Student Name</w:t>
            </w:r>
          </w:p>
        </w:tc>
        <w:tc>
          <w:tcPr>
            <w:tcW w:type="dxa" w:w="5472"/>
            <w:vAlign w:val="center"/>
          </w:tcPr>
          <w:p>
            <w:r/>
            <w:r>
              <w:rPr>
                <w:rFonts w:ascii="Aptos" w:hAnsi="Aptos"/>
                <w:b w:val="0"/>
                <w:sz w:val="18"/>
              </w:rPr>
              <w:t>Muskan Kumari</w:t>
            </w:r>
          </w:p>
        </w:tc>
      </w:tr>
      <w:tr>
        <w:tc>
          <w:tcPr>
            <w:tcW w:type="dxa" w:w="3312"/>
            <w:vAlign w:val="center"/>
          </w:tcPr>
          <w:p>
            <w:r/>
            <w:r>
              <w:rPr>
                <w:rFonts w:ascii="Aptos" w:hAnsi="Aptos"/>
                <w:b w:val="0"/>
                <w:sz w:val="18"/>
              </w:rPr>
              <w:t>College</w:t>
            </w:r>
          </w:p>
        </w:tc>
        <w:tc>
          <w:tcPr>
            <w:tcW w:type="dxa" w:w="5472"/>
            <w:vAlign w:val="center"/>
          </w:tcPr>
          <w:p>
            <w:r/>
            <w:r>
              <w:rPr>
                <w:rFonts w:ascii="Aptos" w:hAnsi="Aptos"/>
                <w:b w:val="0"/>
                <w:sz w:val="18"/>
              </w:rPr>
              <w:t>Rungta College of Engineering and Technology, Bhilai</w:t>
            </w:r>
          </w:p>
        </w:tc>
      </w:tr>
      <w:tr>
        <w:tc>
          <w:tcPr>
            <w:tcW w:type="dxa" w:w="3312"/>
            <w:vAlign w:val="center"/>
          </w:tcPr>
          <w:p>
            <w:r/>
            <w:r>
              <w:rPr>
                <w:rFonts w:ascii="Aptos" w:hAnsi="Aptos"/>
                <w:b w:val="0"/>
                <w:sz w:val="18"/>
              </w:rPr>
              <w:t>Course</w:t>
            </w:r>
          </w:p>
        </w:tc>
        <w:tc>
          <w:tcPr>
            <w:tcW w:type="dxa" w:w="5472"/>
            <w:vAlign w:val="center"/>
          </w:tcPr>
          <w:p>
            <w:r/>
            <w:r>
              <w:rPr>
                <w:rFonts w:ascii="Aptos" w:hAnsi="Aptos"/>
                <w:b w:val="0"/>
                <w:sz w:val="18"/>
              </w:rPr>
              <w:t>B.Tech CSE — Cyber Security</w:t>
            </w:r>
          </w:p>
        </w:tc>
      </w:tr>
      <w:tr>
        <w:tc>
          <w:tcPr>
            <w:tcW w:type="dxa" w:w="3312"/>
            <w:vAlign w:val="center"/>
          </w:tcPr>
          <w:p>
            <w:r/>
            <w:r>
              <w:rPr>
                <w:rFonts w:ascii="Aptos" w:hAnsi="Aptos"/>
                <w:b w:val="0"/>
                <w:sz w:val="18"/>
              </w:rPr>
              <w:t>Task</w:t>
            </w:r>
          </w:p>
        </w:tc>
        <w:tc>
          <w:tcPr>
            <w:tcW w:type="dxa" w:w="5472"/>
            <w:vAlign w:val="center"/>
          </w:tcPr>
          <w:p>
            <w:r/>
            <w:r>
              <w:rPr>
                <w:rFonts w:ascii="Aptos" w:hAnsi="Aptos"/>
                <w:b w:val="0"/>
                <w:sz w:val="18"/>
              </w:rPr>
              <w:t>Week 3 — Security Policy Review</w:t>
            </w:r>
          </w:p>
        </w:tc>
      </w:tr>
      <w:tr>
        <w:tc>
          <w:tcPr>
            <w:tcW w:type="dxa" w:w="3312"/>
            <w:vAlign w:val="center"/>
          </w:tcPr>
          <w:p>
            <w:r/>
            <w:r>
              <w:rPr>
                <w:rFonts w:ascii="Aptos" w:hAnsi="Aptos"/>
                <w:b w:val="0"/>
                <w:sz w:val="18"/>
              </w:rPr>
              <w:t>Review Type</w:t>
            </w:r>
          </w:p>
        </w:tc>
        <w:tc>
          <w:tcPr>
            <w:tcW w:type="dxa" w:w="5472"/>
            <w:vAlign w:val="center"/>
          </w:tcPr>
          <w:p>
            <w:r/>
            <w:r>
              <w:rPr>
                <w:rFonts w:ascii="Aptos" w:hAnsi="Aptos"/>
                <w:b w:val="0"/>
                <w:sz w:val="18"/>
              </w:rPr>
              <w:t>Hypothetical Organization / Academic Security Assessment</w:t>
            </w:r>
          </w:p>
        </w:tc>
      </w:tr>
      <w:tr>
        <w:tc>
          <w:tcPr>
            <w:tcW w:type="dxa" w:w="3312"/>
            <w:vAlign w:val="center"/>
          </w:tcPr>
          <w:p>
            <w:r/>
            <w:r>
              <w:rPr>
                <w:rFonts w:ascii="Aptos" w:hAnsi="Aptos"/>
                <w:b w:val="0"/>
                <w:sz w:val="18"/>
              </w:rPr>
              <w:t>Expected Task Effort</w:t>
            </w:r>
          </w:p>
        </w:tc>
        <w:tc>
          <w:tcPr>
            <w:tcW w:type="dxa" w:w="5472"/>
            <w:vAlign w:val="center"/>
          </w:tcPr>
          <w:p>
            <w:r/>
            <w:r>
              <w:rPr>
                <w:rFonts w:ascii="Aptos" w:hAnsi="Aptos"/>
                <w:b w:val="0"/>
                <w:sz w:val="18"/>
              </w:rPr>
              <w:t>30–35 hours</w:t>
            </w:r>
          </w:p>
        </w:tc>
      </w:tr>
      <w:tr>
        <w:tc>
          <w:tcPr>
            <w:tcW w:type="dxa" w:w="3312"/>
            <w:vAlign w:val="center"/>
          </w:tcPr>
          <w:p>
            <w:r/>
            <w:r>
              <w:rPr>
                <w:rFonts w:ascii="Aptos" w:hAnsi="Aptos"/>
                <w:b w:val="0"/>
                <w:sz w:val="18"/>
              </w:rPr>
              <w:t>Deliverable</w:t>
            </w:r>
          </w:p>
        </w:tc>
        <w:tc>
          <w:tcPr>
            <w:tcW w:type="dxa" w:w="5472"/>
            <w:vAlign w:val="center"/>
          </w:tcPr>
          <w:p>
            <w:r/>
            <w:r>
              <w:rPr>
                <w:rFonts w:ascii="Aptos" w:hAnsi="Aptos"/>
                <w:b w:val="0"/>
                <w:sz w:val="18"/>
              </w:rPr>
              <w:t>Security policy critique and practical improvement plan</w:t>
            </w:r>
          </w:p>
        </w:tc>
      </w:tr>
    </w:tbl>
    <w:p/>
    <w:p>
      <w:pPr>
        <w:jc w:val="center"/>
      </w:pPr>
      <w:r>
        <w:rPr>
          <w:b/>
          <w:sz w:val="22"/>
        </w:rPr>
        <w:br/>
        <w:t>Prepared as an academic internship deliverable</w:t>
      </w:r>
    </w:p>
    <w:p>
      <w:pPr>
        <w:pStyle w:val="SmallNote"/>
        <w:jc w:val="center"/>
      </w:pPr>
      <w:r>
        <w:t>Note: The organization and baseline policy used in this report are hypothetical and created for the purpose of this review.</w:t>
      </w:r>
    </w:p>
    <w:p>
      <w:r>
        <w:br w:type="page"/>
      </w:r>
    </w:p>
    <w:p>
      <w:pPr>
        <w:pStyle w:val="Heading1"/>
      </w:pPr>
      <w:r>
        <w:t>1. Executive Summary</w:t>
      </w:r>
    </w:p>
    <w:p>
      <w:r>
        <w:t>This report presents a structured security policy review for a hypothetical organization, SecureSphere Technologies Pvt. Ltd. The purpose is to examine whether the organization's existing security policy provides clear, practical and measurable protection for users, devices, applications, networks and business information.</w:t>
      </w:r>
    </w:p>
    <w:p>
      <w:r>
        <w:t>The review identifies weaknesses in areas such as access control, password management, multi-factor authentication, asset ownership, security awareness, patch management, logging and monitoring, incident response, third-party access, data protection, backup management and policy governance. The review does not assume that a single technical control can solve every security problem; instead, it considers people, process and technology together.</w:t>
      </w:r>
    </w:p>
    <w:p>
      <w:r>
        <w:t>The main outcome is an improvement roadmap that converts broad policy statements into specific controls, owners, evidence requirements, review frequencies and measurable targets. The recommendations are designed to be realistic for a medium-sized organization and can be implemented in phases according to risk and available resources.</w:t>
      </w:r>
    </w:p>
    <w:p>
      <w:pPr>
        <w:pStyle w:val="Heading1"/>
      </w:pPr>
      <w:r>
        <w:t>2. Task Objective and Scope</w:t>
      </w:r>
    </w:p>
    <w:p>
      <w:r>
        <w:t>The task requirement shown in the internship brief is to review a hypothetical organization's security policy, identify weaknesses and areas for improvement, and suggest concrete steps to improve security. Evaluation is based on the depth of review, practicality of recommendations and clarity of writing.</w:t>
      </w:r>
    </w:p>
    <w:p>
      <w:pPr>
        <w:pStyle w:val="Heading2"/>
      </w:pPr>
      <w:r>
        <w:t>2.1 Scope</w:t>
      </w:r>
    </w:p>
    <w:p>
      <w:pPr>
        <w:pStyle w:val="ListBullet"/>
        <w:spacing w:after="60"/>
      </w:pPr>
      <w:r>
        <w:t>Information security governance and policy ownership.</w:t>
      </w:r>
    </w:p>
    <w:p>
      <w:pPr>
        <w:pStyle w:val="ListBullet"/>
        <w:spacing w:after="60"/>
      </w:pPr>
      <w:r>
        <w:t>Identity and access management.</w:t>
      </w:r>
    </w:p>
    <w:p>
      <w:pPr>
        <w:pStyle w:val="ListBullet"/>
        <w:spacing w:after="60"/>
      </w:pPr>
      <w:r>
        <w:t>Password and authentication controls.</w:t>
      </w:r>
    </w:p>
    <w:p>
      <w:pPr>
        <w:pStyle w:val="ListBullet"/>
        <w:spacing w:after="60"/>
      </w:pPr>
      <w:r>
        <w:t>Endpoint, workstation and mobile security.</w:t>
      </w:r>
    </w:p>
    <w:p>
      <w:pPr>
        <w:pStyle w:val="ListBullet"/>
        <w:spacing w:after="60"/>
      </w:pPr>
      <w:r>
        <w:t>Network and remote-access security.</w:t>
      </w:r>
    </w:p>
    <w:p>
      <w:pPr>
        <w:pStyle w:val="ListBullet"/>
        <w:spacing w:after="60"/>
      </w:pPr>
      <w:r>
        <w:t>Data classification, handling and retention.</w:t>
      </w:r>
    </w:p>
    <w:p>
      <w:pPr>
        <w:pStyle w:val="ListBullet"/>
        <w:spacing w:after="60"/>
      </w:pPr>
      <w:r>
        <w:t>Vulnerability and patch management.</w:t>
      </w:r>
    </w:p>
    <w:p>
      <w:pPr>
        <w:pStyle w:val="ListBullet"/>
        <w:spacing w:after="60"/>
      </w:pPr>
      <w:r>
        <w:t>Security awareness and acceptable-use requirements.</w:t>
      </w:r>
    </w:p>
    <w:p>
      <w:pPr>
        <w:pStyle w:val="ListBullet"/>
        <w:spacing w:after="60"/>
      </w:pPr>
      <w:r>
        <w:t>Logging, monitoring and alerting.</w:t>
      </w:r>
    </w:p>
    <w:p>
      <w:pPr>
        <w:pStyle w:val="ListBullet"/>
        <w:spacing w:after="60"/>
      </w:pPr>
      <w:r>
        <w:t>Incident response and reporting.</w:t>
      </w:r>
    </w:p>
    <w:p>
      <w:pPr>
        <w:pStyle w:val="ListBullet"/>
        <w:spacing w:after="60"/>
      </w:pPr>
      <w:r>
        <w:t>Backup, recovery and business continuity.</w:t>
      </w:r>
    </w:p>
    <w:p>
      <w:pPr>
        <w:pStyle w:val="ListBullet"/>
        <w:spacing w:after="60"/>
      </w:pPr>
      <w:r>
        <w:t>Third-party and vendor security.</w:t>
      </w:r>
    </w:p>
    <w:p>
      <w:pPr>
        <w:pStyle w:val="ListBullet"/>
        <w:spacing w:after="60"/>
      </w:pPr>
      <w:r>
        <w:t>Policy review, exceptions, enforcement and evidence.</w:t>
      </w:r>
    </w:p>
    <w:p>
      <w:pPr>
        <w:pStyle w:val="Heading2"/>
      </w:pPr>
      <w:r>
        <w:t>2.2 Review Limitations</w:t>
      </w:r>
    </w:p>
    <w:p>
      <w:pPr>
        <w:pStyle w:val="ListBullet"/>
        <w:spacing w:after="60"/>
      </w:pPr>
      <w:r>
        <w:t>The organization is hypothetical; no production systems were accessed.</w:t>
      </w:r>
    </w:p>
    <w:p>
      <w:pPr>
        <w:pStyle w:val="ListBullet"/>
        <w:spacing w:after="60"/>
      </w:pPr>
      <w:r>
        <w:t>No real employee records, credentials or confidential business information were used.</w:t>
      </w:r>
    </w:p>
    <w:p>
      <w:pPr>
        <w:pStyle w:val="ListBullet"/>
        <w:spacing w:after="60"/>
      </w:pPr>
      <w:r>
        <w:t>Technical effectiveness was assessed from a policy perspective rather than through penetration testing.</w:t>
      </w:r>
    </w:p>
    <w:p>
      <w:pPr>
        <w:pStyle w:val="ListBullet"/>
        <w:spacing w:after="60"/>
      </w:pPr>
      <w:r>
        <w:t>Risk ratings are qualitative and should be validated with the organization's actual asset inventory and threat data.</w:t>
      </w:r>
    </w:p>
    <w:p>
      <w:r>
        <w:br w:type="page"/>
      </w:r>
    </w:p>
    <w:p>
      <w:pPr>
        <w:pStyle w:val="Heading1"/>
      </w:pPr>
      <w:r>
        <w:t>3. Review Methodology</w:t>
      </w:r>
    </w:p>
    <w:p>
      <w:r>
        <w:t>A policy review was performed using a control-oriented approach. Each policy area was considered against four questions: Is the requirement clear? Is it enforceable? Can compliance be measured? Can the organization produce evidence that the control is operating?</w:t>
      </w:r>
    </w:p>
    <w:p>
      <w:pPr>
        <w:pStyle w:val="ListNumber"/>
        <w:spacing w:after="60"/>
      </w:pPr>
      <w:r>
        <w:t>Understand the hypothetical organization's business context and information assets.</w:t>
      </w:r>
    </w:p>
    <w:p>
      <w:pPr>
        <w:pStyle w:val="ListNumber"/>
        <w:spacing w:after="60"/>
      </w:pPr>
      <w:r>
        <w:t>Break the baseline policy into individual control areas.</w:t>
      </w:r>
    </w:p>
    <w:p>
      <w:pPr>
        <w:pStyle w:val="ListNumber"/>
        <w:spacing w:after="60"/>
      </w:pPr>
      <w:r>
        <w:t>Identify ambiguity, missing requirements, outdated assumptions and operational gaps.</w:t>
      </w:r>
    </w:p>
    <w:p>
      <w:pPr>
        <w:pStyle w:val="ListNumber"/>
        <w:spacing w:after="60"/>
      </w:pPr>
      <w:r>
        <w:t>Assess the likely business impact and likelihood of each gap.</w:t>
      </w:r>
    </w:p>
    <w:p>
      <w:pPr>
        <w:pStyle w:val="ListNumber"/>
        <w:spacing w:after="60"/>
      </w:pPr>
      <w:r>
        <w:t>Assign a qualitative priority to each finding.</w:t>
      </w:r>
    </w:p>
    <w:p>
      <w:pPr>
        <w:pStyle w:val="ListNumber"/>
        <w:spacing w:after="60"/>
      </w:pPr>
      <w:r>
        <w:t>Propose a practical control or policy improvement.</w:t>
      </w:r>
    </w:p>
    <w:p>
      <w:pPr>
        <w:pStyle w:val="ListNumber"/>
        <w:spacing w:after="60"/>
      </w:pPr>
      <w:r>
        <w:t>Define an accountable owner and evidence that can demonstrate implementation.</w:t>
      </w:r>
    </w:p>
    <w:p>
      <w:pPr>
        <w:pStyle w:val="ListNumber"/>
        <w:spacing w:after="60"/>
      </w:pPr>
      <w:r>
        <w:t>Create a phased roadmap and measurable security indicators.</w:t>
      </w:r>
    </w:p>
    <w:p>
      <w:pPr>
        <w:pStyle w:val="Heading2"/>
      </w:pPr>
      <w:r>
        <w:t>3.1 Risk Rating Method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vAlign w:val="center"/>
            <w:shd w:fill="D9E2F3"/>
          </w:tcPr>
          <w:p>
            <w:r/>
            <w:r>
              <w:rPr>
                <w:rFonts w:ascii="Aptos" w:hAnsi="Aptos"/>
                <w:b/>
                <w:sz w:val="18"/>
              </w:rPr>
              <w:t>Likelihood</w:t>
            </w:r>
          </w:p>
        </w:tc>
        <w:tc>
          <w:tcPr>
            <w:tcW w:type="dxa" w:w="3456"/>
            <w:vAlign w:val="center"/>
            <w:shd w:fill="D9E2F3"/>
          </w:tcPr>
          <w:p>
            <w:r/>
            <w:r>
              <w:rPr>
                <w:rFonts w:ascii="Aptos" w:hAnsi="Aptos"/>
                <w:b/>
                <w:sz w:val="18"/>
              </w:rPr>
              <w:t>Meaning</w:t>
            </w:r>
          </w:p>
        </w:tc>
        <w:tc>
          <w:tcPr>
            <w:tcW w:type="dxa" w:w="1440"/>
            <w:vAlign w:val="center"/>
            <w:shd w:fill="D9E2F3"/>
          </w:tcPr>
          <w:p>
            <w:r/>
            <w:r>
              <w:rPr>
                <w:rFonts w:ascii="Aptos" w:hAnsi="Aptos"/>
                <w:b/>
                <w:sz w:val="18"/>
              </w:rPr>
              <w:t>Impact</w:t>
            </w:r>
          </w:p>
        </w:tc>
        <w:tc>
          <w:tcPr>
            <w:tcW w:type="dxa" w:w="3744"/>
            <w:vAlign w:val="center"/>
            <w:shd w:fill="D9E2F3"/>
          </w:tcPr>
          <w:p>
            <w:r/>
            <w:r>
              <w:rPr>
                <w:rFonts w:ascii="Aptos" w:hAnsi="Aptos"/>
                <w:b/>
                <w:sz w:val="18"/>
              </w:rPr>
              <w:t>Meaning</w:t>
            </w:r>
          </w:p>
        </w:tc>
      </w:tr>
      <w:tr>
        <w:tc>
          <w:tcPr>
            <w:tcW w:type="dxa" w:w="1584"/>
            <w:vAlign w:val="center"/>
          </w:tcPr>
          <w:p>
            <w:r/>
            <w:r>
              <w:rPr>
                <w:rFonts w:ascii="Aptos" w:hAnsi="Aptos"/>
                <w:b w:val="0"/>
                <w:sz w:val="18"/>
              </w:rPr>
              <w:t>Low</w:t>
            </w:r>
          </w:p>
        </w:tc>
        <w:tc>
          <w:tcPr>
            <w:tcW w:type="dxa" w:w="3456"/>
            <w:vAlign w:val="center"/>
          </w:tcPr>
          <w:p>
            <w:r/>
            <w:r>
              <w:rPr>
                <w:rFonts w:ascii="Aptos" w:hAnsi="Aptos"/>
                <w:b w:val="0"/>
                <w:sz w:val="18"/>
              </w:rPr>
              <w:t>Unlikely under normal conditions</w:t>
            </w:r>
          </w:p>
        </w:tc>
        <w:tc>
          <w:tcPr>
            <w:tcW w:type="dxa" w:w="1440"/>
            <w:vAlign w:val="center"/>
          </w:tcPr>
          <w:p>
            <w:r/>
            <w:r>
              <w:rPr>
                <w:rFonts w:ascii="Aptos" w:hAnsi="Aptos"/>
                <w:b w:val="0"/>
                <w:sz w:val="18"/>
              </w:rPr>
              <w:t>Low</w:t>
            </w:r>
          </w:p>
        </w:tc>
        <w:tc>
          <w:tcPr>
            <w:tcW w:type="dxa" w:w="3744"/>
            <w:vAlign w:val="center"/>
          </w:tcPr>
          <w:p>
            <w:r/>
            <w:r>
              <w:rPr>
                <w:rFonts w:ascii="Aptos" w:hAnsi="Aptos"/>
                <w:b w:val="0"/>
                <w:sz w:val="18"/>
              </w:rPr>
              <w:t>Limited operational or data impact</w:t>
            </w:r>
          </w:p>
        </w:tc>
      </w:tr>
      <w:tr>
        <w:tc>
          <w:tcPr>
            <w:tcW w:type="dxa" w:w="1584"/>
            <w:vAlign w:val="center"/>
          </w:tcPr>
          <w:p>
            <w:r/>
            <w:r>
              <w:rPr>
                <w:rFonts w:ascii="Aptos" w:hAnsi="Aptos"/>
                <w:b w:val="0"/>
                <w:sz w:val="18"/>
              </w:rPr>
              <w:t>Medium</w:t>
            </w:r>
          </w:p>
        </w:tc>
        <w:tc>
          <w:tcPr>
            <w:tcW w:type="dxa" w:w="3456"/>
            <w:vAlign w:val="center"/>
          </w:tcPr>
          <w:p>
            <w:r/>
            <w:r>
              <w:rPr>
                <w:rFonts w:ascii="Aptos" w:hAnsi="Aptos"/>
                <w:b w:val="0"/>
                <w:sz w:val="18"/>
              </w:rPr>
              <w:t>Reasonably possible</w:t>
            </w:r>
          </w:p>
        </w:tc>
        <w:tc>
          <w:tcPr>
            <w:tcW w:type="dxa" w:w="1440"/>
            <w:vAlign w:val="center"/>
          </w:tcPr>
          <w:p>
            <w:r/>
            <w:r>
              <w:rPr>
                <w:rFonts w:ascii="Aptos" w:hAnsi="Aptos"/>
                <w:b w:val="0"/>
                <w:sz w:val="18"/>
              </w:rPr>
              <w:t>Medium</w:t>
            </w:r>
          </w:p>
        </w:tc>
        <w:tc>
          <w:tcPr>
            <w:tcW w:type="dxa" w:w="3744"/>
            <w:vAlign w:val="center"/>
          </w:tcPr>
          <w:p>
            <w:r/>
            <w:r>
              <w:rPr>
                <w:rFonts w:ascii="Aptos" w:hAnsi="Aptos"/>
                <w:b w:val="0"/>
                <w:sz w:val="18"/>
              </w:rPr>
              <w:t>Noticeable disruption, cost or exposure</w:t>
            </w:r>
          </w:p>
        </w:tc>
      </w:tr>
      <w:tr>
        <w:tc>
          <w:tcPr>
            <w:tcW w:type="dxa" w:w="1584"/>
            <w:vAlign w:val="center"/>
          </w:tcPr>
          <w:p>
            <w:r/>
            <w:r>
              <w:rPr>
                <w:rFonts w:ascii="Aptos" w:hAnsi="Aptos"/>
                <w:b w:val="0"/>
                <w:sz w:val="18"/>
              </w:rPr>
              <w:t>High</w:t>
            </w:r>
          </w:p>
        </w:tc>
        <w:tc>
          <w:tcPr>
            <w:tcW w:type="dxa" w:w="3456"/>
            <w:vAlign w:val="center"/>
          </w:tcPr>
          <w:p>
            <w:r/>
            <w:r>
              <w:rPr>
                <w:rFonts w:ascii="Aptos" w:hAnsi="Aptos"/>
                <w:b w:val="0"/>
                <w:sz w:val="18"/>
              </w:rPr>
              <w:t>Likely without additional controls</w:t>
            </w:r>
          </w:p>
        </w:tc>
        <w:tc>
          <w:tcPr>
            <w:tcW w:type="dxa" w:w="1440"/>
            <w:vAlign w:val="center"/>
          </w:tcPr>
          <w:p>
            <w:r/>
            <w:r>
              <w:rPr>
                <w:rFonts w:ascii="Aptos" w:hAnsi="Aptos"/>
                <w:b w:val="0"/>
                <w:sz w:val="18"/>
              </w:rPr>
              <w:t>High</w:t>
            </w:r>
          </w:p>
        </w:tc>
        <w:tc>
          <w:tcPr>
            <w:tcW w:type="dxa" w:w="3744"/>
            <w:vAlign w:val="center"/>
          </w:tcPr>
          <w:p>
            <w:r/>
            <w:r>
              <w:rPr>
                <w:rFonts w:ascii="Aptos" w:hAnsi="Aptos"/>
                <w:b w:val="0"/>
                <w:sz w:val="18"/>
              </w:rPr>
              <w:t>Major disruption, sensitive-data exposure or legal/business consequences</w:t>
            </w:r>
          </w:p>
        </w:tc>
      </w:tr>
    </w:tbl>
    <w:p/>
    <w:p>
      <w:r>
        <w:t>Priority is determined from the combination of likelihood and impact. A High-priority finding does not mean that an incident has occurred; it means the policy gap deserves earlier treatment.</w:t>
      </w:r>
    </w:p>
    <w:p>
      <w:pPr>
        <w:pStyle w:val="Heading1"/>
      </w:pPr>
      <w:r>
        <w:t>4. Hypothetical Organization and Baseline Policy</w:t>
      </w:r>
    </w:p>
    <w:p>
      <w:r>
        <w:t>SecureSphere Technologies Pvt. Ltd. is assumed to be a medium-sized technology services organization with approximately 250 employees. It uses cloud services, company-managed laptops, a corporate network, remote access, web applications and several external vendors. The organization processes employee data, customer information, project documents and application credentials.</w:t>
      </w:r>
    </w:p>
    <w:p>
      <w:pPr>
        <w:pStyle w:val="Heading2"/>
      </w:pPr>
      <w:r>
        <w:t>4.1 Baseline Security Policy — Summary of Existing Statements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D9E2F3"/>
          </w:tcPr>
          <w:p>
            <w:r/>
            <w:r>
              <w:rPr>
                <w:rFonts w:ascii="Aptos" w:hAnsi="Aptos"/>
                <w:b/>
                <w:sz w:val="18"/>
              </w:rPr>
              <w:t>Policy Area</w:t>
            </w:r>
          </w:p>
        </w:tc>
        <w:tc>
          <w:tcPr>
            <w:tcW w:type="dxa" w:w="8352"/>
            <w:vAlign w:val="center"/>
            <w:shd w:fill="D9E2F3"/>
          </w:tcPr>
          <w:p>
            <w:r/>
            <w:r>
              <w:rPr>
                <w:rFonts w:ascii="Aptos" w:hAnsi="Aptos"/>
                <w:b/>
                <w:sz w:val="18"/>
              </w:rPr>
              <w:t>Baseline Requirement Assumed for Review</w:t>
            </w:r>
          </w:p>
        </w:tc>
      </w:tr>
      <w:tr>
        <w:tc>
          <w:tcPr>
            <w:tcW w:type="dxa" w:w="2160"/>
            <w:vAlign w:val="center"/>
          </w:tcPr>
          <w:p>
            <w:r/>
            <w:r>
              <w:rPr>
                <w:rFonts w:ascii="Aptos" w:hAnsi="Aptos"/>
                <w:b w:val="0"/>
                <w:sz w:val="18"/>
              </w:rPr>
              <w:t>Passwords</w:t>
            </w:r>
          </w:p>
        </w:tc>
        <w:tc>
          <w:tcPr>
            <w:tcW w:type="dxa" w:w="8352"/>
            <w:vAlign w:val="center"/>
          </w:tcPr>
          <w:p>
            <w:r/>
            <w:r>
              <w:rPr>
                <w:rFonts w:ascii="Aptos" w:hAnsi="Aptos"/>
                <w:b w:val="0"/>
                <w:sz w:val="18"/>
              </w:rPr>
              <w:t>Employees should use strong passwords and avoid sharing them.</w:t>
            </w:r>
          </w:p>
        </w:tc>
      </w:tr>
      <w:tr>
        <w:tc>
          <w:tcPr>
            <w:tcW w:type="dxa" w:w="2160"/>
            <w:vAlign w:val="center"/>
          </w:tcPr>
          <w:p>
            <w:r/>
            <w:r>
              <w:rPr>
                <w:rFonts w:ascii="Aptos" w:hAnsi="Aptos"/>
                <w:b w:val="0"/>
                <w:sz w:val="18"/>
              </w:rPr>
              <w:t>Access</w:t>
            </w:r>
          </w:p>
        </w:tc>
        <w:tc>
          <w:tcPr>
            <w:tcW w:type="dxa" w:w="8352"/>
            <w:vAlign w:val="center"/>
          </w:tcPr>
          <w:p>
            <w:r/>
            <w:r>
              <w:rPr>
                <w:rFonts w:ascii="Aptos" w:hAnsi="Aptos"/>
                <w:b w:val="0"/>
                <w:sz w:val="18"/>
              </w:rPr>
              <w:t>Employees receive access needed for their jobs.</w:t>
            </w:r>
          </w:p>
        </w:tc>
      </w:tr>
      <w:tr>
        <w:tc>
          <w:tcPr>
            <w:tcW w:type="dxa" w:w="2160"/>
            <w:vAlign w:val="center"/>
          </w:tcPr>
          <w:p>
            <w:r/>
            <w:r>
              <w:rPr>
                <w:rFonts w:ascii="Aptos" w:hAnsi="Aptos"/>
                <w:b w:val="0"/>
                <w:sz w:val="18"/>
              </w:rPr>
              <w:t>Devices</w:t>
            </w:r>
          </w:p>
        </w:tc>
        <w:tc>
          <w:tcPr>
            <w:tcW w:type="dxa" w:w="8352"/>
            <w:vAlign w:val="center"/>
          </w:tcPr>
          <w:p>
            <w:r/>
            <w:r>
              <w:rPr>
                <w:rFonts w:ascii="Aptos" w:hAnsi="Aptos"/>
                <w:b w:val="0"/>
                <w:sz w:val="18"/>
              </w:rPr>
              <w:t>Company devices should have antivirus software installed.</w:t>
            </w:r>
          </w:p>
        </w:tc>
      </w:tr>
      <w:tr>
        <w:tc>
          <w:tcPr>
            <w:tcW w:type="dxa" w:w="2160"/>
            <w:vAlign w:val="center"/>
          </w:tcPr>
          <w:p>
            <w:r/>
            <w:r>
              <w:rPr>
                <w:rFonts w:ascii="Aptos" w:hAnsi="Aptos"/>
                <w:b w:val="0"/>
                <w:sz w:val="18"/>
              </w:rPr>
              <w:t>Updates</w:t>
            </w:r>
          </w:p>
        </w:tc>
        <w:tc>
          <w:tcPr>
            <w:tcW w:type="dxa" w:w="8352"/>
            <w:vAlign w:val="center"/>
          </w:tcPr>
          <w:p>
            <w:r/>
            <w:r>
              <w:rPr>
                <w:rFonts w:ascii="Aptos" w:hAnsi="Aptos"/>
                <w:b w:val="0"/>
                <w:sz w:val="18"/>
              </w:rPr>
              <w:t>Employees should install security updates when prompted.</w:t>
            </w:r>
          </w:p>
        </w:tc>
      </w:tr>
      <w:tr>
        <w:tc>
          <w:tcPr>
            <w:tcW w:type="dxa" w:w="2160"/>
            <w:vAlign w:val="center"/>
          </w:tcPr>
          <w:p>
            <w:r/>
            <w:r>
              <w:rPr>
                <w:rFonts w:ascii="Aptos" w:hAnsi="Aptos"/>
                <w:b w:val="0"/>
                <w:sz w:val="18"/>
              </w:rPr>
              <w:t>Email</w:t>
            </w:r>
          </w:p>
        </w:tc>
        <w:tc>
          <w:tcPr>
            <w:tcW w:type="dxa" w:w="8352"/>
            <w:vAlign w:val="center"/>
          </w:tcPr>
          <w:p>
            <w:r/>
            <w:r>
              <w:rPr>
                <w:rFonts w:ascii="Aptos" w:hAnsi="Aptos"/>
                <w:b w:val="0"/>
                <w:sz w:val="18"/>
              </w:rPr>
              <w:t>Suspicious emails should be reported to IT.</w:t>
            </w:r>
          </w:p>
        </w:tc>
      </w:tr>
      <w:tr>
        <w:tc>
          <w:tcPr>
            <w:tcW w:type="dxa" w:w="2160"/>
            <w:vAlign w:val="center"/>
          </w:tcPr>
          <w:p>
            <w:r/>
            <w:r>
              <w:rPr>
                <w:rFonts w:ascii="Aptos" w:hAnsi="Aptos"/>
                <w:b w:val="0"/>
                <w:sz w:val="18"/>
              </w:rPr>
              <w:t>Remote Work</w:t>
            </w:r>
          </w:p>
        </w:tc>
        <w:tc>
          <w:tcPr>
            <w:tcW w:type="dxa" w:w="8352"/>
            <w:vAlign w:val="center"/>
          </w:tcPr>
          <w:p>
            <w:r/>
            <w:r>
              <w:rPr>
                <w:rFonts w:ascii="Aptos" w:hAnsi="Aptos"/>
                <w:b w:val="0"/>
                <w:sz w:val="18"/>
              </w:rPr>
              <w:t>Employees should use the company's VPN when working remotely.</w:t>
            </w:r>
          </w:p>
        </w:tc>
      </w:tr>
      <w:tr>
        <w:tc>
          <w:tcPr>
            <w:tcW w:type="dxa" w:w="2160"/>
            <w:vAlign w:val="center"/>
          </w:tcPr>
          <w:p>
            <w:r/>
            <w:r>
              <w:rPr>
                <w:rFonts w:ascii="Aptos" w:hAnsi="Aptos"/>
                <w:b w:val="0"/>
                <w:sz w:val="18"/>
              </w:rPr>
              <w:t>Data</w:t>
            </w:r>
          </w:p>
        </w:tc>
        <w:tc>
          <w:tcPr>
            <w:tcW w:type="dxa" w:w="8352"/>
            <w:vAlign w:val="center"/>
          </w:tcPr>
          <w:p>
            <w:r/>
            <w:r>
              <w:rPr>
                <w:rFonts w:ascii="Aptos" w:hAnsi="Aptos"/>
                <w:b w:val="0"/>
                <w:sz w:val="18"/>
              </w:rPr>
              <w:t>Confidential files should not be shared with unauthorized people.</w:t>
            </w:r>
          </w:p>
        </w:tc>
      </w:tr>
      <w:tr>
        <w:tc>
          <w:tcPr>
            <w:tcW w:type="dxa" w:w="2160"/>
            <w:vAlign w:val="center"/>
          </w:tcPr>
          <w:p>
            <w:r/>
            <w:r>
              <w:rPr>
                <w:rFonts w:ascii="Aptos" w:hAnsi="Aptos"/>
                <w:b w:val="0"/>
                <w:sz w:val="18"/>
              </w:rPr>
              <w:t>Incidents</w:t>
            </w:r>
          </w:p>
        </w:tc>
        <w:tc>
          <w:tcPr>
            <w:tcW w:type="dxa" w:w="8352"/>
            <w:vAlign w:val="center"/>
          </w:tcPr>
          <w:p>
            <w:r/>
            <w:r>
              <w:rPr>
                <w:rFonts w:ascii="Aptos" w:hAnsi="Aptos"/>
                <w:b w:val="0"/>
                <w:sz w:val="18"/>
              </w:rPr>
              <w:t>Security incidents should be reported to the IT team as soon as possible.</w:t>
            </w:r>
          </w:p>
        </w:tc>
      </w:tr>
      <w:tr>
        <w:tc>
          <w:tcPr>
            <w:tcW w:type="dxa" w:w="2160"/>
            <w:vAlign w:val="center"/>
          </w:tcPr>
          <w:p>
            <w:r/>
            <w:r>
              <w:rPr>
                <w:rFonts w:ascii="Aptos" w:hAnsi="Aptos"/>
                <w:b w:val="0"/>
                <w:sz w:val="18"/>
              </w:rPr>
              <w:t>Backups</w:t>
            </w:r>
          </w:p>
        </w:tc>
        <w:tc>
          <w:tcPr>
            <w:tcW w:type="dxa" w:w="8352"/>
            <w:vAlign w:val="center"/>
          </w:tcPr>
          <w:p>
            <w:r/>
            <w:r>
              <w:rPr>
                <w:rFonts w:ascii="Aptos" w:hAnsi="Aptos"/>
                <w:b w:val="0"/>
                <w:sz w:val="18"/>
              </w:rPr>
              <w:t>Important organizational data should be backed up regularly.</w:t>
            </w:r>
          </w:p>
        </w:tc>
      </w:tr>
      <w:tr>
        <w:tc>
          <w:tcPr>
            <w:tcW w:type="dxa" w:w="2160"/>
            <w:vAlign w:val="center"/>
          </w:tcPr>
          <w:p>
            <w:r/>
            <w:r>
              <w:rPr>
                <w:rFonts w:ascii="Aptos" w:hAnsi="Aptos"/>
                <w:b w:val="0"/>
                <w:sz w:val="18"/>
              </w:rPr>
              <w:t>Vendors</w:t>
            </w:r>
          </w:p>
        </w:tc>
        <w:tc>
          <w:tcPr>
            <w:tcW w:type="dxa" w:w="8352"/>
            <w:vAlign w:val="center"/>
          </w:tcPr>
          <w:p>
            <w:r/>
            <w:r>
              <w:rPr>
                <w:rFonts w:ascii="Aptos" w:hAnsi="Aptos"/>
                <w:b w:val="0"/>
                <w:sz w:val="18"/>
              </w:rPr>
              <w:t>Vendors should follow the organization's security requirements.</w:t>
            </w:r>
          </w:p>
        </w:tc>
      </w:tr>
      <w:tr>
        <w:tc>
          <w:tcPr>
            <w:tcW w:type="dxa" w:w="2160"/>
            <w:vAlign w:val="center"/>
          </w:tcPr>
          <w:p>
            <w:r/>
            <w:r>
              <w:rPr>
                <w:rFonts w:ascii="Aptos" w:hAnsi="Aptos"/>
                <w:b w:val="0"/>
                <w:sz w:val="18"/>
              </w:rPr>
              <w:t>Policy Review</w:t>
            </w:r>
          </w:p>
        </w:tc>
        <w:tc>
          <w:tcPr>
            <w:tcW w:type="dxa" w:w="8352"/>
            <w:vAlign w:val="center"/>
          </w:tcPr>
          <w:p>
            <w:r/>
            <w:r>
              <w:rPr>
                <w:rFonts w:ascii="Aptos" w:hAnsi="Aptos"/>
                <w:b w:val="0"/>
                <w:sz w:val="18"/>
              </w:rPr>
              <w:t>The policy should be reviewed periodically by management.</w:t>
            </w:r>
          </w:p>
        </w:tc>
      </w:tr>
    </w:tbl>
    <w:p/>
    <w:p>
      <w:r>
        <w:t>The baseline statements are useful as high-level principles, but several are too general to function as auditable controls. For example, 'strong password' does not specify length, password-manager use, compromised-password screening, MFA requirements or reset procedures. Similarly, 'regular backups' does not define frequency, retention, encryption, restore testing or recovery objectives.</w:t>
      </w:r>
    </w:p>
    <w:p>
      <w:r>
        <w:br w:type="page"/>
      </w:r>
    </w:p>
    <w:p>
      <w:pPr>
        <w:pStyle w:val="Heading1"/>
      </w:pPr>
      <w:r>
        <w:t>5. Detailed Policy Findings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648"/>
            <w:vAlign w:val="center"/>
            <w:shd w:fill="D9E2F3"/>
          </w:tcPr>
          <w:p>
            <w:r/>
            <w:r>
              <w:rPr>
                <w:rFonts w:ascii="Aptos" w:hAnsi="Aptos"/>
                <w:b/>
                <w:sz w:val="18"/>
              </w:rPr>
              <w:t>ID</w:t>
            </w:r>
          </w:p>
        </w:tc>
        <w:tc>
          <w:tcPr>
            <w:tcW w:type="dxa" w:w="1656"/>
            <w:vAlign w:val="center"/>
            <w:shd w:fill="D9E2F3"/>
          </w:tcPr>
          <w:p>
            <w:r/>
            <w:r>
              <w:rPr>
                <w:rFonts w:ascii="Aptos" w:hAnsi="Aptos"/>
                <w:b/>
                <w:sz w:val="18"/>
              </w:rPr>
              <w:t>Area</w:t>
            </w:r>
          </w:p>
        </w:tc>
        <w:tc>
          <w:tcPr>
            <w:tcW w:type="dxa" w:w="936"/>
            <w:vAlign w:val="center"/>
            <w:shd w:fill="D9E2F3"/>
          </w:tcPr>
          <w:p>
            <w:r/>
            <w:r>
              <w:rPr>
                <w:rFonts w:ascii="Aptos" w:hAnsi="Aptos"/>
                <w:b/>
                <w:sz w:val="18"/>
              </w:rPr>
              <w:t>Priority</w:t>
            </w:r>
          </w:p>
        </w:tc>
        <w:tc>
          <w:tcPr>
            <w:tcW w:type="dxa" w:w="4032"/>
            <w:vAlign w:val="center"/>
            <w:shd w:fill="D9E2F3"/>
          </w:tcPr>
          <w:p>
            <w:r/>
            <w:r>
              <w:rPr>
                <w:rFonts w:ascii="Aptos" w:hAnsi="Aptos"/>
                <w:b/>
                <w:sz w:val="18"/>
              </w:rPr>
              <w:t>Finding</w:t>
            </w:r>
          </w:p>
        </w:tc>
        <w:tc>
          <w:tcPr>
            <w:tcW w:type="dxa" w:w="3240"/>
            <w:vAlign w:val="center"/>
            <w:shd w:fill="D9E2F3"/>
          </w:tcPr>
          <w:p>
            <w:r/>
            <w:r>
              <w:rPr>
                <w:rFonts w:ascii="Aptos" w:hAnsi="Aptos"/>
                <w:b/>
                <w:sz w:val="18"/>
              </w:rPr>
              <w:t>Recommended Direction</w:t>
            </w:r>
          </w:p>
        </w:tc>
      </w:tr>
      <w:tr>
        <w:tc>
          <w:tcPr>
            <w:tcW w:type="dxa" w:w="648"/>
            <w:vAlign w:val="center"/>
          </w:tcPr>
          <w:p>
            <w:r/>
            <w:r>
              <w:rPr>
                <w:rFonts w:ascii="Aptos" w:hAnsi="Aptos"/>
                <w:b w:val="0"/>
                <w:sz w:val="18"/>
              </w:rPr>
              <w:t>F-01</w:t>
            </w:r>
          </w:p>
        </w:tc>
        <w:tc>
          <w:tcPr>
            <w:tcW w:type="dxa" w:w="1656"/>
            <w:vAlign w:val="center"/>
          </w:tcPr>
          <w:p>
            <w:r/>
            <w:r>
              <w:rPr>
                <w:rFonts w:ascii="Aptos" w:hAnsi="Aptos"/>
                <w:b w:val="0"/>
                <w:sz w:val="18"/>
              </w:rPr>
              <w:t>Access Control</w:t>
            </w:r>
          </w:p>
        </w:tc>
        <w:tc>
          <w:tcPr>
            <w:tcW w:type="dxa" w:w="936"/>
            <w:vAlign w:val="center"/>
          </w:tcPr>
          <w:p>
            <w:r/>
            <w:r>
              <w:rPr>
                <w:rFonts w:ascii="Aptos" w:hAnsi="Aptos"/>
                <w:b w:val="0"/>
                <w:sz w:val="18"/>
              </w:rPr>
              <w:t>High</w:t>
            </w:r>
          </w:p>
        </w:tc>
        <w:tc>
          <w:tcPr>
            <w:tcW w:type="dxa" w:w="4032"/>
            <w:vAlign w:val="center"/>
          </w:tcPr>
          <w:p>
            <w:r/>
            <w:r>
              <w:rPr>
                <w:rFonts w:ascii="Aptos" w:hAnsi="Aptos"/>
                <w:b w:val="0"/>
                <w:sz w:val="18"/>
              </w:rPr>
              <w:t>Role-based access is mentioned but approval, periodic review and removal of access are not defined.</w:t>
            </w:r>
          </w:p>
        </w:tc>
        <w:tc>
          <w:tcPr>
            <w:tcW w:type="dxa" w:w="3240"/>
            <w:vAlign w:val="center"/>
          </w:tcPr>
          <w:p>
            <w:r/>
            <w:r>
              <w:rPr>
                <w:rFonts w:ascii="Aptos" w:hAnsi="Aptos"/>
                <w:b w:val="0"/>
                <w:sz w:val="18"/>
              </w:rPr>
              <w:t>Implement RBAC, manager approval, quarterly access reviews and immediate deprovisioning after exit.</w:t>
            </w:r>
          </w:p>
        </w:tc>
      </w:tr>
      <w:tr>
        <w:tc>
          <w:tcPr>
            <w:tcW w:type="dxa" w:w="648"/>
            <w:vAlign w:val="center"/>
          </w:tcPr>
          <w:p>
            <w:r/>
            <w:r>
              <w:rPr>
                <w:rFonts w:ascii="Aptos" w:hAnsi="Aptos"/>
                <w:b w:val="0"/>
                <w:sz w:val="18"/>
              </w:rPr>
              <w:t>F-02</w:t>
            </w:r>
          </w:p>
        </w:tc>
        <w:tc>
          <w:tcPr>
            <w:tcW w:type="dxa" w:w="1656"/>
            <w:vAlign w:val="center"/>
          </w:tcPr>
          <w:p>
            <w:r/>
            <w:r>
              <w:rPr>
                <w:rFonts w:ascii="Aptos" w:hAnsi="Aptos"/>
                <w:b w:val="0"/>
                <w:sz w:val="18"/>
              </w:rPr>
              <w:t>Multi-Factor Authentication</w:t>
            </w:r>
          </w:p>
        </w:tc>
        <w:tc>
          <w:tcPr>
            <w:tcW w:type="dxa" w:w="936"/>
            <w:vAlign w:val="center"/>
          </w:tcPr>
          <w:p>
            <w:r/>
            <w:r>
              <w:rPr>
                <w:rFonts w:ascii="Aptos" w:hAnsi="Aptos"/>
                <w:b w:val="0"/>
                <w:sz w:val="18"/>
              </w:rPr>
              <w:t>High</w:t>
            </w:r>
          </w:p>
        </w:tc>
        <w:tc>
          <w:tcPr>
            <w:tcW w:type="dxa" w:w="4032"/>
            <w:vAlign w:val="center"/>
          </w:tcPr>
          <w:p>
            <w:r/>
            <w:r>
              <w:rPr>
                <w:rFonts w:ascii="Aptos" w:hAnsi="Aptos"/>
                <w:b w:val="0"/>
                <w:sz w:val="18"/>
              </w:rPr>
              <w:t>MFA is not explicitly required for privileged, remote or cloud access.</w:t>
            </w:r>
          </w:p>
        </w:tc>
        <w:tc>
          <w:tcPr>
            <w:tcW w:type="dxa" w:w="3240"/>
            <w:vAlign w:val="center"/>
          </w:tcPr>
          <w:p>
            <w:r/>
            <w:r>
              <w:rPr>
                <w:rFonts w:ascii="Aptos" w:hAnsi="Aptos"/>
                <w:b w:val="0"/>
                <w:sz w:val="18"/>
              </w:rPr>
              <w:t>Require MFA for administrators, remote access, email, cloud consoles and other high-value systems.</w:t>
            </w:r>
          </w:p>
        </w:tc>
      </w:tr>
      <w:tr>
        <w:tc>
          <w:tcPr>
            <w:tcW w:type="dxa" w:w="648"/>
            <w:vAlign w:val="center"/>
          </w:tcPr>
          <w:p>
            <w:r/>
            <w:r>
              <w:rPr>
                <w:rFonts w:ascii="Aptos" w:hAnsi="Aptos"/>
                <w:b w:val="0"/>
                <w:sz w:val="18"/>
              </w:rPr>
              <w:t>F-03</w:t>
            </w:r>
          </w:p>
        </w:tc>
        <w:tc>
          <w:tcPr>
            <w:tcW w:type="dxa" w:w="1656"/>
            <w:vAlign w:val="center"/>
          </w:tcPr>
          <w:p>
            <w:r/>
            <w:r>
              <w:rPr>
                <w:rFonts w:ascii="Aptos" w:hAnsi="Aptos"/>
                <w:b w:val="0"/>
                <w:sz w:val="18"/>
              </w:rPr>
              <w:t>Password Management</w:t>
            </w:r>
          </w:p>
        </w:tc>
        <w:tc>
          <w:tcPr>
            <w:tcW w:type="dxa" w:w="936"/>
            <w:vAlign w:val="center"/>
          </w:tcPr>
          <w:p>
            <w:r/>
            <w:r>
              <w:rPr>
                <w:rFonts w:ascii="Aptos" w:hAnsi="Aptos"/>
                <w:b w:val="0"/>
                <w:sz w:val="18"/>
              </w:rPr>
              <w:t>Medium</w:t>
            </w:r>
          </w:p>
        </w:tc>
        <w:tc>
          <w:tcPr>
            <w:tcW w:type="dxa" w:w="4032"/>
            <w:vAlign w:val="center"/>
          </w:tcPr>
          <w:p>
            <w:r/>
            <w:r>
              <w:rPr>
                <w:rFonts w:ascii="Aptos" w:hAnsi="Aptos"/>
                <w:b w:val="0"/>
                <w:sz w:val="18"/>
              </w:rPr>
              <w:t>The term 'strong password' is subjective and has no measurable standard.</w:t>
            </w:r>
          </w:p>
        </w:tc>
        <w:tc>
          <w:tcPr>
            <w:tcW w:type="dxa" w:w="3240"/>
            <w:vAlign w:val="center"/>
          </w:tcPr>
          <w:p>
            <w:r/>
            <w:r>
              <w:rPr>
                <w:rFonts w:ascii="Aptos" w:hAnsi="Aptos"/>
                <w:b w:val="0"/>
                <w:sz w:val="18"/>
              </w:rPr>
              <w:t>Define password length, password-manager use, compromised-password checks and secure reset procedures.</w:t>
            </w:r>
          </w:p>
        </w:tc>
      </w:tr>
      <w:tr>
        <w:tc>
          <w:tcPr>
            <w:tcW w:type="dxa" w:w="648"/>
            <w:vAlign w:val="center"/>
          </w:tcPr>
          <w:p>
            <w:r/>
            <w:r>
              <w:rPr>
                <w:rFonts w:ascii="Aptos" w:hAnsi="Aptos"/>
                <w:b w:val="0"/>
                <w:sz w:val="18"/>
              </w:rPr>
              <w:t>F-04</w:t>
            </w:r>
          </w:p>
        </w:tc>
        <w:tc>
          <w:tcPr>
            <w:tcW w:type="dxa" w:w="1656"/>
            <w:vAlign w:val="center"/>
          </w:tcPr>
          <w:p>
            <w:r/>
            <w:r>
              <w:rPr>
                <w:rFonts w:ascii="Aptos" w:hAnsi="Aptos"/>
                <w:b w:val="0"/>
                <w:sz w:val="18"/>
              </w:rPr>
              <w:t>Asset Management</w:t>
            </w:r>
          </w:p>
        </w:tc>
        <w:tc>
          <w:tcPr>
            <w:tcW w:type="dxa" w:w="936"/>
            <w:vAlign w:val="center"/>
          </w:tcPr>
          <w:p>
            <w:r/>
            <w:r>
              <w:rPr>
                <w:rFonts w:ascii="Aptos" w:hAnsi="Aptos"/>
                <w:b w:val="0"/>
                <w:sz w:val="18"/>
              </w:rPr>
              <w:t>High</w:t>
            </w:r>
          </w:p>
        </w:tc>
        <w:tc>
          <w:tcPr>
            <w:tcW w:type="dxa" w:w="4032"/>
            <w:vAlign w:val="center"/>
          </w:tcPr>
          <w:p>
            <w:r/>
            <w:r>
              <w:rPr>
                <w:rFonts w:ascii="Aptos" w:hAnsi="Aptos"/>
                <w:b w:val="0"/>
                <w:sz w:val="18"/>
              </w:rPr>
              <w:t>The policy does not require a maintained inventory of hardware, software, cloud assets and owners.</w:t>
            </w:r>
          </w:p>
        </w:tc>
        <w:tc>
          <w:tcPr>
            <w:tcW w:type="dxa" w:w="3240"/>
            <w:vAlign w:val="center"/>
          </w:tcPr>
          <w:p>
            <w:r/>
            <w:r>
              <w:rPr>
                <w:rFonts w:ascii="Aptos" w:hAnsi="Aptos"/>
                <w:b w:val="0"/>
                <w:sz w:val="18"/>
              </w:rPr>
              <w:t>Maintain an asset register with owner, classification, status and lifecycle information.</w:t>
            </w:r>
          </w:p>
        </w:tc>
      </w:tr>
      <w:tr>
        <w:tc>
          <w:tcPr>
            <w:tcW w:type="dxa" w:w="648"/>
            <w:vAlign w:val="center"/>
          </w:tcPr>
          <w:p>
            <w:r/>
            <w:r>
              <w:rPr>
                <w:rFonts w:ascii="Aptos" w:hAnsi="Aptos"/>
                <w:b w:val="0"/>
                <w:sz w:val="18"/>
              </w:rPr>
              <w:t>F-05</w:t>
            </w:r>
          </w:p>
        </w:tc>
        <w:tc>
          <w:tcPr>
            <w:tcW w:type="dxa" w:w="1656"/>
            <w:vAlign w:val="center"/>
          </w:tcPr>
          <w:p>
            <w:r/>
            <w:r>
              <w:rPr>
                <w:rFonts w:ascii="Aptos" w:hAnsi="Aptos"/>
                <w:b w:val="0"/>
                <w:sz w:val="18"/>
              </w:rPr>
              <w:t>Patch Management</w:t>
            </w:r>
          </w:p>
        </w:tc>
        <w:tc>
          <w:tcPr>
            <w:tcW w:type="dxa" w:w="936"/>
            <w:vAlign w:val="center"/>
          </w:tcPr>
          <w:p>
            <w:r/>
            <w:r>
              <w:rPr>
                <w:rFonts w:ascii="Aptos" w:hAnsi="Aptos"/>
                <w:b w:val="0"/>
                <w:sz w:val="18"/>
              </w:rPr>
              <w:t>High</w:t>
            </w:r>
          </w:p>
        </w:tc>
        <w:tc>
          <w:tcPr>
            <w:tcW w:type="dxa" w:w="4032"/>
            <w:vAlign w:val="center"/>
          </w:tcPr>
          <w:p>
            <w:r/>
            <w:r>
              <w:rPr>
                <w:rFonts w:ascii="Aptos" w:hAnsi="Aptos"/>
                <w:b w:val="0"/>
                <w:sz w:val="18"/>
              </w:rPr>
              <w:t>Employees are asked to update devices, but there are no deadlines or centralized verification.</w:t>
            </w:r>
          </w:p>
        </w:tc>
        <w:tc>
          <w:tcPr>
            <w:tcW w:type="dxa" w:w="3240"/>
            <w:vAlign w:val="center"/>
          </w:tcPr>
          <w:p>
            <w:r/>
            <w:r>
              <w:rPr>
                <w:rFonts w:ascii="Aptos" w:hAnsi="Aptos"/>
                <w:b w:val="0"/>
                <w:sz w:val="18"/>
              </w:rPr>
              <w:t>Define risk-based patch SLAs and monitor compliance centrally.</w:t>
            </w:r>
          </w:p>
        </w:tc>
      </w:tr>
      <w:tr>
        <w:tc>
          <w:tcPr>
            <w:tcW w:type="dxa" w:w="648"/>
            <w:vAlign w:val="center"/>
          </w:tcPr>
          <w:p>
            <w:r/>
            <w:r>
              <w:rPr>
                <w:rFonts w:ascii="Aptos" w:hAnsi="Aptos"/>
                <w:b w:val="0"/>
                <w:sz w:val="18"/>
              </w:rPr>
              <w:t>F-06</w:t>
            </w:r>
          </w:p>
        </w:tc>
        <w:tc>
          <w:tcPr>
            <w:tcW w:type="dxa" w:w="1656"/>
            <w:vAlign w:val="center"/>
          </w:tcPr>
          <w:p>
            <w:r/>
            <w:r>
              <w:rPr>
                <w:rFonts w:ascii="Aptos" w:hAnsi="Aptos"/>
                <w:b w:val="0"/>
                <w:sz w:val="18"/>
              </w:rPr>
              <w:t>Logging &amp; Monitoring</w:t>
            </w:r>
          </w:p>
        </w:tc>
        <w:tc>
          <w:tcPr>
            <w:tcW w:type="dxa" w:w="936"/>
            <w:vAlign w:val="center"/>
          </w:tcPr>
          <w:p>
            <w:r/>
            <w:r>
              <w:rPr>
                <w:rFonts w:ascii="Aptos" w:hAnsi="Aptos"/>
                <w:b w:val="0"/>
                <w:sz w:val="18"/>
              </w:rPr>
              <w:t>High</w:t>
            </w:r>
          </w:p>
        </w:tc>
        <w:tc>
          <w:tcPr>
            <w:tcW w:type="dxa" w:w="4032"/>
            <w:vAlign w:val="center"/>
          </w:tcPr>
          <w:p>
            <w:r/>
            <w:r>
              <w:rPr>
                <w:rFonts w:ascii="Aptos" w:hAnsi="Aptos"/>
                <w:b w:val="0"/>
                <w:sz w:val="18"/>
              </w:rPr>
              <w:t>There is no clear requirement for security logs, retention, review or alert escalation.</w:t>
            </w:r>
          </w:p>
        </w:tc>
        <w:tc>
          <w:tcPr>
            <w:tcW w:type="dxa" w:w="3240"/>
            <w:vAlign w:val="center"/>
          </w:tcPr>
          <w:p>
            <w:r/>
            <w:r>
              <w:rPr>
                <w:rFonts w:ascii="Aptos" w:hAnsi="Aptos"/>
                <w:b w:val="0"/>
                <w:sz w:val="18"/>
              </w:rPr>
              <w:t>Centralize critical logs, define retention and create alerting and review procedures.</w:t>
            </w:r>
          </w:p>
        </w:tc>
      </w:tr>
      <w:tr>
        <w:tc>
          <w:tcPr>
            <w:tcW w:type="dxa" w:w="648"/>
            <w:vAlign w:val="center"/>
          </w:tcPr>
          <w:p>
            <w:r/>
            <w:r>
              <w:rPr>
                <w:rFonts w:ascii="Aptos" w:hAnsi="Aptos"/>
                <w:b w:val="0"/>
                <w:sz w:val="18"/>
              </w:rPr>
              <w:t>F-07</w:t>
            </w:r>
          </w:p>
        </w:tc>
        <w:tc>
          <w:tcPr>
            <w:tcW w:type="dxa" w:w="1656"/>
            <w:vAlign w:val="center"/>
          </w:tcPr>
          <w:p>
            <w:r/>
            <w:r>
              <w:rPr>
                <w:rFonts w:ascii="Aptos" w:hAnsi="Aptos"/>
                <w:b w:val="0"/>
                <w:sz w:val="18"/>
              </w:rPr>
              <w:t>Incident Response</w:t>
            </w:r>
          </w:p>
        </w:tc>
        <w:tc>
          <w:tcPr>
            <w:tcW w:type="dxa" w:w="936"/>
            <w:vAlign w:val="center"/>
          </w:tcPr>
          <w:p>
            <w:r/>
            <w:r>
              <w:rPr>
                <w:rFonts w:ascii="Aptos" w:hAnsi="Aptos"/>
                <w:b w:val="0"/>
                <w:sz w:val="18"/>
              </w:rPr>
              <w:t>High</w:t>
            </w:r>
          </w:p>
        </w:tc>
        <w:tc>
          <w:tcPr>
            <w:tcW w:type="dxa" w:w="4032"/>
            <w:vAlign w:val="center"/>
          </w:tcPr>
          <w:p>
            <w:r/>
            <w:r>
              <w:rPr>
                <w:rFonts w:ascii="Aptos" w:hAnsi="Aptos"/>
                <w:b w:val="0"/>
                <w:sz w:val="18"/>
              </w:rPr>
              <w:t>The policy only says to report incidents; roles, severity levels and response stages are missing.</w:t>
            </w:r>
          </w:p>
        </w:tc>
        <w:tc>
          <w:tcPr>
            <w:tcW w:type="dxa" w:w="3240"/>
            <w:vAlign w:val="center"/>
          </w:tcPr>
          <w:p>
            <w:r/>
            <w:r>
              <w:rPr>
                <w:rFonts w:ascii="Aptos" w:hAnsi="Aptos"/>
                <w:b w:val="0"/>
                <w:sz w:val="18"/>
              </w:rPr>
              <w:t>Create an incident response plan with severity, escalation, evidence preservation and post-incident review.</w:t>
            </w:r>
          </w:p>
        </w:tc>
      </w:tr>
      <w:tr>
        <w:tc>
          <w:tcPr>
            <w:tcW w:type="dxa" w:w="648"/>
            <w:vAlign w:val="center"/>
          </w:tcPr>
          <w:p>
            <w:r/>
            <w:r>
              <w:rPr>
                <w:rFonts w:ascii="Aptos" w:hAnsi="Aptos"/>
                <w:b w:val="0"/>
                <w:sz w:val="18"/>
              </w:rPr>
              <w:t>F-08</w:t>
            </w:r>
          </w:p>
        </w:tc>
        <w:tc>
          <w:tcPr>
            <w:tcW w:type="dxa" w:w="1656"/>
            <w:vAlign w:val="center"/>
          </w:tcPr>
          <w:p>
            <w:r/>
            <w:r>
              <w:rPr>
                <w:rFonts w:ascii="Aptos" w:hAnsi="Aptos"/>
                <w:b w:val="0"/>
                <w:sz w:val="18"/>
              </w:rPr>
              <w:t>Data Protection</w:t>
            </w:r>
          </w:p>
        </w:tc>
        <w:tc>
          <w:tcPr>
            <w:tcW w:type="dxa" w:w="936"/>
            <w:vAlign w:val="center"/>
          </w:tcPr>
          <w:p>
            <w:r/>
            <w:r>
              <w:rPr>
                <w:rFonts w:ascii="Aptos" w:hAnsi="Aptos"/>
                <w:b w:val="0"/>
                <w:sz w:val="18"/>
              </w:rPr>
              <w:t>High</w:t>
            </w:r>
          </w:p>
        </w:tc>
        <w:tc>
          <w:tcPr>
            <w:tcW w:type="dxa" w:w="4032"/>
            <w:vAlign w:val="center"/>
          </w:tcPr>
          <w:p>
            <w:r/>
            <w:r>
              <w:rPr>
                <w:rFonts w:ascii="Aptos" w:hAnsi="Aptos"/>
                <w:b w:val="0"/>
                <w:sz w:val="18"/>
              </w:rPr>
              <w:t>Confidentiality is required, but classification, encryption, retention and secure disposal are not defined.</w:t>
            </w:r>
          </w:p>
        </w:tc>
        <w:tc>
          <w:tcPr>
            <w:tcW w:type="dxa" w:w="3240"/>
            <w:vAlign w:val="center"/>
          </w:tcPr>
          <w:p>
            <w:r/>
            <w:r>
              <w:rPr>
                <w:rFonts w:ascii="Aptos" w:hAnsi="Aptos"/>
                <w:b w:val="0"/>
                <w:sz w:val="18"/>
              </w:rPr>
              <w:t>Introduce data classification and handling rules, encryption requirements and retention schedules.</w:t>
            </w:r>
          </w:p>
        </w:tc>
      </w:tr>
      <w:tr>
        <w:tc>
          <w:tcPr>
            <w:tcW w:type="dxa" w:w="648"/>
            <w:vAlign w:val="center"/>
          </w:tcPr>
          <w:p>
            <w:r/>
            <w:r>
              <w:rPr>
                <w:rFonts w:ascii="Aptos" w:hAnsi="Aptos"/>
                <w:b w:val="0"/>
                <w:sz w:val="18"/>
              </w:rPr>
              <w:t>F-09</w:t>
            </w:r>
          </w:p>
        </w:tc>
        <w:tc>
          <w:tcPr>
            <w:tcW w:type="dxa" w:w="1656"/>
            <w:vAlign w:val="center"/>
          </w:tcPr>
          <w:p>
            <w:r/>
            <w:r>
              <w:rPr>
                <w:rFonts w:ascii="Aptos" w:hAnsi="Aptos"/>
                <w:b w:val="0"/>
                <w:sz w:val="18"/>
              </w:rPr>
              <w:t>Backup &amp; Recovery</w:t>
            </w:r>
          </w:p>
        </w:tc>
        <w:tc>
          <w:tcPr>
            <w:tcW w:type="dxa" w:w="936"/>
            <w:vAlign w:val="center"/>
          </w:tcPr>
          <w:p>
            <w:r/>
            <w:r>
              <w:rPr>
                <w:rFonts w:ascii="Aptos" w:hAnsi="Aptos"/>
                <w:b w:val="0"/>
                <w:sz w:val="18"/>
              </w:rPr>
              <w:t>High</w:t>
            </w:r>
          </w:p>
        </w:tc>
        <w:tc>
          <w:tcPr>
            <w:tcW w:type="dxa" w:w="4032"/>
            <w:vAlign w:val="center"/>
          </w:tcPr>
          <w:p>
            <w:r/>
            <w:r>
              <w:rPr>
                <w:rFonts w:ascii="Aptos" w:hAnsi="Aptos"/>
                <w:b w:val="0"/>
                <w:sz w:val="18"/>
              </w:rPr>
              <w:t>Backup frequency and restoration testing are unspecified.</w:t>
            </w:r>
          </w:p>
        </w:tc>
        <w:tc>
          <w:tcPr>
            <w:tcW w:type="dxa" w:w="3240"/>
            <w:vAlign w:val="center"/>
          </w:tcPr>
          <w:p>
            <w:r/>
            <w:r>
              <w:rPr>
                <w:rFonts w:ascii="Aptos" w:hAnsi="Aptos"/>
                <w:b w:val="0"/>
                <w:sz w:val="18"/>
              </w:rPr>
              <w:t>Define backup schedules, immutable/offline protection where appropriate, retention and restore testing.</w:t>
            </w:r>
          </w:p>
        </w:tc>
      </w:tr>
      <w:tr>
        <w:tc>
          <w:tcPr>
            <w:tcW w:type="dxa" w:w="648"/>
            <w:vAlign w:val="center"/>
          </w:tcPr>
          <w:p>
            <w:r/>
            <w:r>
              <w:rPr>
                <w:rFonts w:ascii="Aptos" w:hAnsi="Aptos"/>
                <w:b w:val="0"/>
                <w:sz w:val="18"/>
              </w:rPr>
              <w:t>F-10</w:t>
            </w:r>
          </w:p>
        </w:tc>
        <w:tc>
          <w:tcPr>
            <w:tcW w:type="dxa" w:w="1656"/>
            <w:vAlign w:val="center"/>
          </w:tcPr>
          <w:p>
            <w:r/>
            <w:r>
              <w:rPr>
                <w:rFonts w:ascii="Aptos" w:hAnsi="Aptos"/>
                <w:b w:val="0"/>
                <w:sz w:val="18"/>
              </w:rPr>
              <w:t>Security Awareness</w:t>
            </w:r>
          </w:p>
        </w:tc>
        <w:tc>
          <w:tcPr>
            <w:tcW w:type="dxa" w:w="936"/>
            <w:vAlign w:val="center"/>
          </w:tcPr>
          <w:p>
            <w:r/>
            <w:r>
              <w:rPr>
                <w:rFonts w:ascii="Aptos" w:hAnsi="Aptos"/>
                <w:b w:val="0"/>
                <w:sz w:val="18"/>
              </w:rPr>
              <w:t>Medium</w:t>
            </w:r>
          </w:p>
        </w:tc>
        <w:tc>
          <w:tcPr>
            <w:tcW w:type="dxa" w:w="4032"/>
            <w:vAlign w:val="center"/>
          </w:tcPr>
          <w:p>
            <w:r/>
            <w:r>
              <w:rPr>
                <w:rFonts w:ascii="Aptos" w:hAnsi="Aptos"/>
                <w:b w:val="0"/>
                <w:sz w:val="18"/>
              </w:rPr>
              <w:t>The policy does not establish recurring training or phishing-awareness exercises.</w:t>
            </w:r>
          </w:p>
        </w:tc>
        <w:tc>
          <w:tcPr>
            <w:tcW w:type="dxa" w:w="3240"/>
            <w:vAlign w:val="center"/>
          </w:tcPr>
          <w:p>
            <w:r/>
            <w:r>
              <w:rPr>
                <w:rFonts w:ascii="Aptos" w:hAnsi="Aptos"/>
                <w:b w:val="0"/>
                <w:sz w:val="18"/>
              </w:rPr>
              <w:t>Provide onboarding and annual training plus periodic awareness exercises.</w:t>
            </w:r>
          </w:p>
        </w:tc>
      </w:tr>
      <w:tr>
        <w:tc>
          <w:tcPr>
            <w:tcW w:type="dxa" w:w="648"/>
            <w:vAlign w:val="center"/>
          </w:tcPr>
          <w:p>
            <w:r/>
            <w:r>
              <w:rPr>
                <w:rFonts w:ascii="Aptos" w:hAnsi="Aptos"/>
                <w:b w:val="0"/>
                <w:sz w:val="18"/>
              </w:rPr>
              <w:t>F-11</w:t>
            </w:r>
          </w:p>
        </w:tc>
        <w:tc>
          <w:tcPr>
            <w:tcW w:type="dxa" w:w="1656"/>
            <w:vAlign w:val="center"/>
          </w:tcPr>
          <w:p>
            <w:r/>
            <w:r>
              <w:rPr>
                <w:rFonts w:ascii="Aptos" w:hAnsi="Aptos"/>
                <w:b w:val="0"/>
                <w:sz w:val="18"/>
              </w:rPr>
              <w:t>Third-Party Security</w:t>
            </w:r>
          </w:p>
        </w:tc>
        <w:tc>
          <w:tcPr>
            <w:tcW w:type="dxa" w:w="936"/>
            <w:vAlign w:val="center"/>
          </w:tcPr>
          <w:p>
            <w:r/>
            <w:r>
              <w:rPr>
                <w:rFonts w:ascii="Aptos" w:hAnsi="Aptos"/>
                <w:b w:val="0"/>
                <w:sz w:val="18"/>
              </w:rPr>
              <w:t>Medium</w:t>
            </w:r>
          </w:p>
        </w:tc>
        <w:tc>
          <w:tcPr>
            <w:tcW w:type="dxa" w:w="4032"/>
            <w:vAlign w:val="center"/>
          </w:tcPr>
          <w:p>
            <w:r/>
            <w:r>
              <w:rPr>
                <w:rFonts w:ascii="Aptos" w:hAnsi="Aptos"/>
                <w:b w:val="0"/>
                <w:sz w:val="18"/>
              </w:rPr>
              <w:t>Vendor requirements are broad and do not define due diligence, contracts or review frequency.</w:t>
            </w:r>
          </w:p>
        </w:tc>
        <w:tc>
          <w:tcPr>
            <w:tcW w:type="dxa" w:w="3240"/>
            <w:vAlign w:val="center"/>
          </w:tcPr>
          <w:p>
            <w:r/>
            <w:r>
              <w:rPr>
                <w:rFonts w:ascii="Aptos" w:hAnsi="Aptos"/>
                <w:b w:val="0"/>
                <w:sz w:val="18"/>
              </w:rPr>
              <w:t>Perform vendor risk assessment and include security clauses, breach notification and access controls in contracts.</w:t>
            </w:r>
          </w:p>
        </w:tc>
      </w:tr>
      <w:tr>
        <w:tc>
          <w:tcPr>
            <w:tcW w:type="dxa" w:w="648"/>
            <w:vAlign w:val="center"/>
          </w:tcPr>
          <w:p>
            <w:r/>
            <w:r>
              <w:rPr>
                <w:rFonts w:ascii="Aptos" w:hAnsi="Aptos"/>
                <w:b w:val="0"/>
                <w:sz w:val="18"/>
              </w:rPr>
              <w:t>F-12</w:t>
            </w:r>
          </w:p>
        </w:tc>
        <w:tc>
          <w:tcPr>
            <w:tcW w:type="dxa" w:w="1656"/>
            <w:vAlign w:val="center"/>
          </w:tcPr>
          <w:p>
            <w:r/>
            <w:r>
              <w:rPr>
                <w:rFonts w:ascii="Aptos" w:hAnsi="Aptos"/>
                <w:b w:val="0"/>
                <w:sz w:val="18"/>
              </w:rPr>
              <w:t>Exceptions &amp; Enforcement</w:t>
            </w:r>
          </w:p>
        </w:tc>
        <w:tc>
          <w:tcPr>
            <w:tcW w:type="dxa" w:w="936"/>
            <w:vAlign w:val="center"/>
          </w:tcPr>
          <w:p>
            <w:r/>
            <w:r>
              <w:rPr>
                <w:rFonts w:ascii="Aptos" w:hAnsi="Aptos"/>
                <w:b w:val="0"/>
                <w:sz w:val="18"/>
              </w:rPr>
              <w:t>Medium</w:t>
            </w:r>
          </w:p>
        </w:tc>
        <w:tc>
          <w:tcPr>
            <w:tcW w:type="dxa" w:w="4032"/>
            <w:vAlign w:val="center"/>
          </w:tcPr>
          <w:p>
            <w:r/>
            <w:r>
              <w:rPr>
                <w:rFonts w:ascii="Aptos" w:hAnsi="Aptos"/>
                <w:b w:val="0"/>
                <w:sz w:val="18"/>
              </w:rPr>
              <w:t>No formal process exists for policy exceptions or consequences for repeated non-compliance.</w:t>
            </w:r>
          </w:p>
        </w:tc>
        <w:tc>
          <w:tcPr>
            <w:tcW w:type="dxa" w:w="3240"/>
            <w:vAlign w:val="center"/>
          </w:tcPr>
          <w:p>
            <w:r/>
            <w:r>
              <w:rPr>
                <w:rFonts w:ascii="Aptos" w:hAnsi="Aptos"/>
                <w:b w:val="0"/>
                <w:sz w:val="18"/>
              </w:rPr>
              <w:t>Create documented exception approval, expiry and compensating-control requirements.</w:t>
            </w:r>
          </w:p>
        </w:tc>
      </w:tr>
    </w:tbl>
    <w:p/>
    <w:p>
      <w:pPr>
        <w:pStyle w:val="Heading1"/>
      </w:pPr>
      <w:r>
        <w:t>6. Control-by-Control Critique</w:t>
      </w:r>
    </w:p>
    <w:p>
      <w:pPr>
        <w:pStyle w:val="Heading2"/>
      </w:pPr>
      <w:r>
        <w:t>6.1 Identity and Access Management</w:t>
      </w:r>
    </w:p>
    <w:p>
      <w:r>
        <w:t>The baseline principle of giving employees access required for their jobs is appropriate, but it does not establish least privilege in an operationally measurable way. It also lacks joiner-mover-leaver procedures. Without defined ownership and review intervals, unnecessary access can remain active after an employee changes role.</w:t>
      </w:r>
    </w:p>
    <w:p>
      <w:pPr>
        <w:pStyle w:val="ListBullet"/>
        <w:spacing w:after="60"/>
      </w:pPr>
      <w:r>
        <w:t>Use role-based access control wherever practical.</w:t>
      </w:r>
    </w:p>
    <w:p>
      <w:pPr>
        <w:pStyle w:val="ListBullet"/>
        <w:spacing w:after="60"/>
      </w:pPr>
      <w:r>
        <w:t>Require documented approval before granting sensitive access.</w:t>
      </w:r>
    </w:p>
    <w:p>
      <w:pPr>
        <w:pStyle w:val="ListBullet"/>
        <w:spacing w:after="60"/>
      </w:pPr>
      <w:r>
        <w:t>Review privileged and sensitive access at least quarterly.</w:t>
      </w:r>
    </w:p>
    <w:p>
      <w:pPr>
        <w:pStyle w:val="ListBullet"/>
        <w:spacing w:after="60"/>
      </w:pPr>
      <w:r>
        <w:t>Disable accounts promptly when employment or access eligibility ends.</w:t>
      </w:r>
    </w:p>
    <w:p>
      <w:pPr>
        <w:pStyle w:val="ListBullet"/>
        <w:spacing w:after="60"/>
      </w:pPr>
      <w:r>
        <w:t>Maintain an access review record that includes reviewer, date, findings and remediation.</w:t>
      </w:r>
    </w:p>
    <w:p>
      <w:pPr>
        <w:pStyle w:val="Heading2"/>
      </w:pPr>
      <w:r>
        <w:t>6.2 Authentication and Passwords</w:t>
      </w:r>
    </w:p>
    <w:p>
      <w:r>
        <w:t>The phrase 'strong password' is insufficient because different users may interpret it differently. The policy should define authentication requirements according to risk. Password-only authentication should not be treated as adequate for privileged or externally accessible systems when stronger authentication is available.</w:t>
      </w:r>
    </w:p>
    <w:p>
      <w:pPr>
        <w:pStyle w:val="ListBullet"/>
        <w:spacing w:after="60"/>
      </w:pPr>
      <w:r>
        <w:t>Require MFA for privileged accounts, remote access, email and major cloud services.</w:t>
      </w:r>
    </w:p>
    <w:p>
      <w:pPr>
        <w:pStyle w:val="ListBullet"/>
        <w:spacing w:after="60"/>
      </w:pPr>
      <w:r>
        <w:t>Use a managed password manager for organizational credentials where appropriate.</w:t>
      </w:r>
    </w:p>
    <w:p>
      <w:pPr>
        <w:pStyle w:val="ListBullet"/>
        <w:spacing w:after="60"/>
      </w:pPr>
      <w:r>
        <w:t>Block known compromised passwords and prohibit credential sharing.</w:t>
      </w:r>
    </w:p>
    <w:p>
      <w:pPr>
        <w:pStyle w:val="ListBullet"/>
        <w:spacing w:after="60"/>
      </w:pPr>
      <w:r>
        <w:t>Define secure account-recovery and reset procedures.</w:t>
      </w:r>
    </w:p>
    <w:p>
      <w:pPr>
        <w:pStyle w:val="ListBullet"/>
        <w:spacing w:after="60"/>
      </w:pPr>
      <w:r>
        <w:t>Use separate administrative accounts for privileged work.</w:t>
      </w:r>
    </w:p>
    <w:p>
      <w:pPr>
        <w:pStyle w:val="Heading2"/>
      </w:pPr>
      <w:r>
        <w:t>6.3 Endpoint and Mobile Security</w:t>
      </w:r>
    </w:p>
    <w:p>
      <w:r>
        <w:t>Antivirus alone is not a complete endpoint security strategy. The policy should address operating-system hardening, disk encryption, screen locking, software installation, removable media, device loss and centralized management.</w:t>
      </w:r>
    </w:p>
    <w:p>
      <w:pPr>
        <w:pStyle w:val="ListBullet"/>
        <w:spacing w:after="60"/>
      </w:pPr>
      <w:r>
        <w:t>Require centrally managed endpoint protection.</w:t>
      </w:r>
    </w:p>
    <w:p>
      <w:pPr>
        <w:pStyle w:val="ListBullet"/>
        <w:spacing w:after="60"/>
      </w:pPr>
      <w:r>
        <w:t>Enable full-disk encryption on supported company devices.</w:t>
      </w:r>
    </w:p>
    <w:p>
      <w:pPr>
        <w:pStyle w:val="ListBullet"/>
        <w:spacing w:after="60"/>
      </w:pPr>
      <w:r>
        <w:t>Set automatic screen-lock and device-management requirements.</w:t>
      </w:r>
    </w:p>
    <w:p>
      <w:pPr>
        <w:pStyle w:val="ListBullet"/>
        <w:spacing w:after="60"/>
      </w:pPr>
      <w:r>
        <w:t>Restrict unauthorized software installation.</w:t>
      </w:r>
    </w:p>
    <w:p>
      <w:pPr>
        <w:pStyle w:val="ListBullet"/>
        <w:spacing w:after="60"/>
      </w:pPr>
      <w:r>
        <w:t>Define reporting and remote-lock/wipe procedures for lost devices.</w:t>
      </w:r>
    </w:p>
    <w:p>
      <w:pPr>
        <w:pStyle w:val="Heading2"/>
      </w:pPr>
      <w:r>
        <w:t>6.4 Network and Remote Access</w:t>
      </w:r>
    </w:p>
    <w:p>
      <w:r>
        <w:t>The VPN requirement is useful but does not specify how remote access is authenticated, monitored or restricted. Modern remote access should consider identity, device posture and application sensitivity rather than relying only on network location.</w:t>
      </w:r>
    </w:p>
    <w:p>
      <w:pPr>
        <w:pStyle w:val="ListBullet"/>
        <w:spacing w:after="60"/>
      </w:pPr>
      <w:r>
        <w:t>Require MFA for VPN and remote-access services.</w:t>
      </w:r>
    </w:p>
    <w:p>
      <w:pPr>
        <w:pStyle w:val="ListBullet"/>
        <w:spacing w:after="60"/>
      </w:pPr>
      <w:r>
        <w:t>Restrict administrative interfaces from direct internet exposure.</w:t>
      </w:r>
    </w:p>
    <w:p>
      <w:pPr>
        <w:pStyle w:val="ListBullet"/>
        <w:spacing w:after="60"/>
      </w:pPr>
      <w:r>
        <w:t>Segment sensitive systems from general user networks where feasible.</w:t>
      </w:r>
    </w:p>
    <w:p>
      <w:pPr>
        <w:pStyle w:val="ListBullet"/>
        <w:spacing w:after="60"/>
      </w:pPr>
      <w:r>
        <w:t>Monitor unusual remote-login activity.</w:t>
      </w:r>
    </w:p>
    <w:p>
      <w:pPr>
        <w:pStyle w:val="ListBullet"/>
        <w:spacing w:after="60"/>
      </w:pPr>
      <w:r>
        <w:t>Define minimum device-security requirements before allowing access.</w:t>
      </w:r>
    </w:p>
    <w:p>
      <w:pPr>
        <w:pStyle w:val="Heading2"/>
      </w:pPr>
      <w:r>
        <w:t>6.5 Data Classification and Handling</w:t>
      </w:r>
    </w:p>
    <w:p>
      <w:r>
        <w:t>The policy uses the word 'confidential' but provides no classification scheme. Employees therefore may not know whether a document is public, internal, confidential or highly sensitive, or which sharing method is acceptable.</w:t>
      </w:r>
    </w:p>
    <w:p>
      <w:pPr>
        <w:pStyle w:val="ListBullet"/>
        <w:spacing w:after="60"/>
      </w:pPr>
      <w:r>
        <w:t>Create four practical categories: Public, Internal, Confidential and Restricted.</w:t>
      </w:r>
    </w:p>
    <w:p>
      <w:pPr>
        <w:pStyle w:val="ListBullet"/>
        <w:spacing w:after="60"/>
      </w:pPr>
      <w:r>
        <w:t>Define permitted storage, sharing, transmission and disposal methods for each category.</w:t>
      </w:r>
    </w:p>
    <w:p>
      <w:pPr>
        <w:pStyle w:val="ListBullet"/>
        <w:spacing w:after="60"/>
      </w:pPr>
      <w:r>
        <w:t>Encrypt sensitive data in transit and at rest where appropriate.</w:t>
      </w:r>
    </w:p>
    <w:p>
      <w:pPr>
        <w:pStyle w:val="ListBullet"/>
        <w:spacing w:after="60"/>
      </w:pPr>
      <w:r>
        <w:t>Define retention periods and secure deletion requirements.</w:t>
      </w:r>
    </w:p>
    <w:p>
      <w:pPr>
        <w:pStyle w:val="ListBullet"/>
        <w:spacing w:after="60"/>
      </w:pPr>
      <w:r>
        <w:t>Train employees to identify and handle each classification.</w:t>
      </w:r>
    </w:p>
    <w:p>
      <w:pPr>
        <w:pStyle w:val="Heading2"/>
      </w:pPr>
      <w:r>
        <w:t>6.6 Vulnerability and Patch Management</w:t>
      </w:r>
    </w:p>
    <w:p>
      <w:r>
        <w:t>Relying on users to install updates creates inconsistent security. Patch management should be centralized and based on asset criticality and vulnerability severity.</w:t>
      </w:r>
    </w:p>
    <w:p>
      <w:pPr>
        <w:pStyle w:val="ListBullet"/>
        <w:spacing w:after="60"/>
      </w:pPr>
      <w:r>
        <w:t>Maintain an accurate asset inventory.</w:t>
      </w:r>
    </w:p>
    <w:p>
      <w:pPr>
        <w:pStyle w:val="ListBullet"/>
        <w:spacing w:after="60"/>
      </w:pPr>
      <w:r>
        <w:t>Define patch deadlines by severity and business criticality.</w:t>
      </w:r>
    </w:p>
    <w:p>
      <w:pPr>
        <w:pStyle w:val="ListBullet"/>
        <w:spacing w:after="60"/>
      </w:pPr>
      <w:r>
        <w:t>Track exceptions with an owner and expiry date.</w:t>
      </w:r>
    </w:p>
    <w:p>
      <w:pPr>
        <w:pStyle w:val="ListBullet"/>
        <w:spacing w:after="60"/>
      </w:pPr>
      <w:r>
        <w:t>Use authenticated vulnerability scanning where appropriate.</w:t>
      </w:r>
    </w:p>
    <w:p>
      <w:pPr>
        <w:pStyle w:val="ListBullet"/>
        <w:spacing w:after="60"/>
      </w:pPr>
      <w:r>
        <w:t>Report patch compliance to management regularly.</w:t>
      </w:r>
    </w:p>
    <w:p>
      <w:pPr>
        <w:pStyle w:val="Heading2"/>
      </w:pPr>
      <w:r>
        <w:t>6.7 Security Logging and Monitoring</w:t>
      </w:r>
    </w:p>
    <w:p>
      <w:r>
        <w:t>The baseline does not establish what should be logged or how long logs should be retained. This can delay investigation and reduce the ability to determine what happened during an incident.</w:t>
      </w:r>
    </w:p>
    <w:p>
      <w:pPr>
        <w:pStyle w:val="ListBullet"/>
        <w:spacing w:after="60"/>
      </w:pPr>
      <w:r>
        <w:t>Log authentication events, privileged actions, security alerts and important application events.</w:t>
      </w:r>
    </w:p>
    <w:p>
      <w:pPr>
        <w:pStyle w:val="ListBullet"/>
        <w:spacing w:after="60"/>
      </w:pPr>
      <w:r>
        <w:t>Protect logs from unauthorized modification.</w:t>
      </w:r>
    </w:p>
    <w:p>
      <w:pPr>
        <w:pStyle w:val="ListBullet"/>
        <w:spacing w:after="60"/>
      </w:pPr>
      <w:r>
        <w:t>Define retention periods based on business, legal and investigative requirements.</w:t>
      </w:r>
    </w:p>
    <w:p>
      <w:pPr>
        <w:pStyle w:val="ListBullet"/>
        <w:spacing w:after="60"/>
      </w:pPr>
      <w:r>
        <w:t>Create alert rules for suspicious authentication and privileged activity.</w:t>
      </w:r>
    </w:p>
    <w:p>
      <w:pPr>
        <w:pStyle w:val="ListBullet"/>
        <w:spacing w:after="60"/>
      </w:pPr>
      <w:r>
        <w:t>Assign responsibility for reviewing alerts and escalating incidents.</w:t>
      </w:r>
    </w:p>
    <w:p>
      <w:pPr>
        <w:pStyle w:val="Heading2"/>
      </w:pPr>
      <w:r>
        <w:t>6.8 Incident Response</w:t>
      </w:r>
    </w:p>
    <w:p>
      <w:r>
        <w:t>A requirement to report incidents is necessary but incomplete. Employees and technical teams need a common process so that incidents are triaged consistently and evidence is preserved.</w:t>
      </w:r>
    </w:p>
    <w:p>
      <w:pPr>
        <w:pStyle w:val="ListBullet"/>
        <w:spacing w:after="60"/>
      </w:pPr>
      <w:r>
        <w:t>Define incident categories and severity levels.</w:t>
      </w:r>
    </w:p>
    <w:p>
      <w:pPr>
        <w:pStyle w:val="ListBullet"/>
        <w:spacing w:after="60"/>
      </w:pPr>
      <w:r>
        <w:t>Document reporting channels and emergency contacts.</w:t>
      </w:r>
    </w:p>
    <w:p>
      <w:pPr>
        <w:pStyle w:val="ListBullet"/>
        <w:spacing w:after="60"/>
      </w:pPr>
      <w:r>
        <w:t>Establish roles such as incident lead, IT/security, management and communications.</w:t>
      </w:r>
    </w:p>
    <w:p>
      <w:pPr>
        <w:pStyle w:val="ListBullet"/>
        <w:spacing w:after="60"/>
      </w:pPr>
      <w:r>
        <w:t>Preserve relevant evidence and maintain an incident timeline.</w:t>
      </w:r>
    </w:p>
    <w:p>
      <w:pPr>
        <w:pStyle w:val="ListBullet"/>
        <w:spacing w:after="60"/>
      </w:pPr>
      <w:r>
        <w:t>Conduct a post-incident review and track corrective actions.</w:t>
      </w:r>
    </w:p>
    <w:p>
      <w:pPr>
        <w:pStyle w:val="Heading2"/>
      </w:pPr>
      <w:r>
        <w:t>6.9 Backup and Recovery</w:t>
      </w:r>
    </w:p>
    <w:p>
      <w:r>
        <w:t>A backup policy without restore testing does not demonstrate recoverability. Backups should be protected from accidental deletion and ransomware-related compromise.</w:t>
      </w:r>
    </w:p>
    <w:p>
      <w:pPr>
        <w:pStyle w:val="ListBullet"/>
        <w:spacing w:after="60"/>
      </w:pPr>
      <w:r>
        <w:t>Define backup frequency by system criticality.</w:t>
      </w:r>
    </w:p>
    <w:p>
      <w:pPr>
        <w:pStyle w:val="ListBullet"/>
        <w:spacing w:after="60"/>
      </w:pPr>
      <w:r>
        <w:t>Use access controls that separate backup administration from normal user administration.</w:t>
      </w:r>
    </w:p>
    <w:p>
      <w:pPr>
        <w:pStyle w:val="ListBullet"/>
        <w:spacing w:after="60"/>
      </w:pPr>
      <w:r>
        <w:t>Protect critical backups against unauthorized modification or deletion.</w:t>
      </w:r>
    </w:p>
    <w:p>
      <w:pPr>
        <w:pStyle w:val="ListBullet"/>
        <w:spacing w:after="60"/>
      </w:pPr>
      <w:r>
        <w:t>Perform scheduled restoration tests.</w:t>
      </w:r>
    </w:p>
    <w:p>
      <w:pPr>
        <w:pStyle w:val="ListBullet"/>
        <w:spacing w:after="60"/>
      </w:pPr>
      <w:r>
        <w:t>Document recovery objectives and test results.</w:t>
      </w:r>
    </w:p>
    <w:p>
      <w:pPr>
        <w:pStyle w:val="Heading2"/>
      </w:pPr>
      <w:r>
        <w:t>6.10 Third-Party and Vendor Security</w:t>
      </w:r>
    </w:p>
    <w:p>
      <w:r>
        <w:t>The baseline requirement for vendors is too broad to support consistent due diligence. A vendor handling sensitive data or privileged access should receive more scrutiny than a low-risk supplier.</w:t>
      </w:r>
    </w:p>
    <w:p>
      <w:pPr>
        <w:pStyle w:val="ListBullet"/>
        <w:spacing w:after="60"/>
      </w:pPr>
      <w:r>
        <w:t>Classify vendors by security risk.</w:t>
      </w:r>
    </w:p>
    <w:p>
      <w:pPr>
        <w:pStyle w:val="ListBullet"/>
        <w:spacing w:after="60"/>
      </w:pPr>
      <w:r>
        <w:t>Perform security due diligence before granting sensitive access.</w:t>
      </w:r>
    </w:p>
    <w:p>
      <w:pPr>
        <w:pStyle w:val="ListBullet"/>
        <w:spacing w:after="60"/>
      </w:pPr>
      <w:r>
        <w:t>Include security, confidentiality, breach notification and access-control clauses in contracts.</w:t>
      </w:r>
    </w:p>
    <w:p>
      <w:pPr>
        <w:pStyle w:val="ListBullet"/>
        <w:spacing w:after="60"/>
      </w:pPr>
      <w:r>
        <w:t>Review high-risk vendors periodically.</w:t>
      </w:r>
    </w:p>
    <w:p>
      <w:pPr>
        <w:pStyle w:val="ListBullet"/>
        <w:spacing w:after="60"/>
      </w:pPr>
      <w:r>
        <w:t>Remove vendor access when the engagement ends.</w:t>
      </w:r>
    </w:p>
    <w:p>
      <w:r>
        <w:br w:type="page"/>
      </w:r>
    </w:p>
    <w:p>
      <w:pPr>
        <w:pStyle w:val="Heading1"/>
      </w:pPr>
      <w:r>
        <w:t>7. Security Risk Register</w:t>
      </w:r>
    </w:p>
    <w:p>
      <w:r>
        <w:t>The following register translates the policy findings into practical risk statements. It is intended to help management decide what should be addressed first without treating the ratings as exact quantitative measurements.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648"/>
            <w:vAlign w:val="center"/>
            <w:shd w:fill="D9E2F3"/>
          </w:tcPr>
          <w:p>
            <w:r/>
            <w:r>
              <w:rPr>
                <w:rFonts w:ascii="Aptos" w:hAnsi="Aptos"/>
                <w:b/>
                <w:sz w:val="18"/>
              </w:rPr>
              <w:t>ID</w:t>
            </w:r>
          </w:p>
        </w:tc>
        <w:tc>
          <w:tcPr>
            <w:tcW w:type="dxa" w:w="1944"/>
            <w:vAlign w:val="center"/>
            <w:shd w:fill="D9E2F3"/>
          </w:tcPr>
          <w:p>
            <w:r/>
            <w:r>
              <w:rPr>
                <w:rFonts w:ascii="Aptos" w:hAnsi="Aptos"/>
                <w:b/>
                <w:sz w:val="18"/>
              </w:rPr>
              <w:t>Risk</w:t>
            </w:r>
          </w:p>
        </w:tc>
        <w:tc>
          <w:tcPr>
            <w:tcW w:type="dxa" w:w="1080"/>
            <w:vAlign w:val="center"/>
            <w:shd w:fill="D9E2F3"/>
          </w:tcPr>
          <w:p>
            <w:r/>
            <w:r>
              <w:rPr>
                <w:rFonts w:ascii="Aptos" w:hAnsi="Aptos"/>
                <w:b/>
                <w:sz w:val="18"/>
              </w:rPr>
              <w:t>Likelihood</w:t>
            </w:r>
          </w:p>
        </w:tc>
        <w:tc>
          <w:tcPr>
            <w:tcW w:type="dxa" w:w="864"/>
            <w:vAlign w:val="center"/>
            <w:shd w:fill="D9E2F3"/>
          </w:tcPr>
          <w:p>
            <w:r/>
            <w:r>
              <w:rPr>
                <w:rFonts w:ascii="Aptos" w:hAnsi="Aptos"/>
                <w:b/>
                <w:sz w:val="18"/>
              </w:rPr>
              <w:t>Impact</w:t>
            </w:r>
          </w:p>
        </w:tc>
        <w:tc>
          <w:tcPr>
            <w:tcW w:type="dxa" w:w="2880"/>
            <w:vAlign w:val="center"/>
            <w:shd w:fill="D9E2F3"/>
          </w:tcPr>
          <w:p>
            <w:r/>
            <w:r>
              <w:rPr>
                <w:rFonts w:ascii="Aptos" w:hAnsi="Aptos"/>
                <w:b/>
                <w:sz w:val="18"/>
              </w:rPr>
              <w:t>Potential Consequence</w:t>
            </w:r>
          </w:p>
        </w:tc>
        <w:tc>
          <w:tcPr>
            <w:tcW w:type="dxa" w:w="2880"/>
            <w:vAlign w:val="center"/>
            <w:shd w:fill="D9E2F3"/>
          </w:tcPr>
          <w:p>
            <w:r/>
            <w:r>
              <w:rPr>
                <w:rFonts w:ascii="Aptos" w:hAnsi="Aptos"/>
                <w:b/>
                <w:sz w:val="18"/>
              </w:rPr>
              <w:t>Primary Treatment</w:t>
            </w:r>
          </w:p>
        </w:tc>
      </w:tr>
      <w:tr>
        <w:tc>
          <w:tcPr>
            <w:tcW w:type="dxa" w:w="648"/>
            <w:vAlign w:val="center"/>
          </w:tcPr>
          <w:p>
            <w:r/>
            <w:r>
              <w:rPr>
                <w:rFonts w:ascii="Aptos" w:hAnsi="Aptos"/>
                <w:b w:val="0"/>
                <w:sz w:val="18"/>
              </w:rPr>
              <w:t>R-01</w:t>
            </w:r>
          </w:p>
        </w:tc>
        <w:tc>
          <w:tcPr>
            <w:tcW w:type="dxa" w:w="1944"/>
            <w:vAlign w:val="center"/>
          </w:tcPr>
          <w:p>
            <w:r/>
            <w:r>
              <w:rPr>
                <w:rFonts w:ascii="Aptos" w:hAnsi="Aptos"/>
                <w:b w:val="0"/>
                <w:sz w:val="18"/>
              </w:rPr>
              <w:t>Excessive or stale access</w:t>
            </w:r>
          </w:p>
        </w:tc>
        <w:tc>
          <w:tcPr>
            <w:tcW w:type="dxa" w:w="1080"/>
            <w:vAlign w:val="center"/>
          </w:tcPr>
          <w:p>
            <w:r/>
            <w:r>
              <w:rPr>
                <w:rFonts w:ascii="Aptos" w:hAnsi="Aptos"/>
                <w:b w:val="0"/>
                <w:sz w:val="18"/>
              </w:rPr>
              <w:t>High</w:t>
            </w:r>
          </w:p>
        </w:tc>
        <w:tc>
          <w:tcPr>
            <w:tcW w:type="dxa" w:w="864"/>
            <w:vAlign w:val="center"/>
          </w:tcPr>
          <w:p>
            <w:r/>
            <w:r>
              <w:rPr>
                <w:rFonts w:ascii="Aptos" w:hAnsi="Aptos"/>
                <w:b w:val="0"/>
                <w:sz w:val="18"/>
              </w:rPr>
              <w:t>High</w:t>
            </w:r>
          </w:p>
        </w:tc>
        <w:tc>
          <w:tcPr>
            <w:tcW w:type="dxa" w:w="2880"/>
            <w:vAlign w:val="center"/>
          </w:tcPr>
          <w:p>
            <w:r/>
            <w:r>
              <w:rPr>
                <w:rFonts w:ascii="Aptos" w:hAnsi="Aptos"/>
                <w:b w:val="0"/>
                <w:sz w:val="18"/>
              </w:rPr>
              <w:t>Unauthorized access or misuse of accounts</w:t>
            </w:r>
          </w:p>
        </w:tc>
        <w:tc>
          <w:tcPr>
            <w:tcW w:type="dxa" w:w="2880"/>
            <w:vAlign w:val="center"/>
          </w:tcPr>
          <w:p>
            <w:r/>
            <w:r>
              <w:rPr>
                <w:rFonts w:ascii="Aptos" w:hAnsi="Aptos"/>
                <w:b w:val="0"/>
                <w:sz w:val="18"/>
              </w:rPr>
              <w:t>RBAC + quarterly review + rapid deprovisioning</w:t>
            </w:r>
          </w:p>
        </w:tc>
      </w:tr>
      <w:tr>
        <w:tc>
          <w:tcPr>
            <w:tcW w:type="dxa" w:w="648"/>
            <w:vAlign w:val="center"/>
          </w:tcPr>
          <w:p>
            <w:r/>
            <w:r>
              <w:rPr>
                <w:rFonts w:ascii="Aptos" w:hAnsi="Aptos"/>
                <w:b w:val="0"/>
                <w:sz w:val="18"/>
              </w:rPr>
              <w:t>R-02</w:t>
            </w:r>
          </w:p>
        </w:tc>
        <w:tc>
          <w:tcPr>
            <w:tcW w:type="dxa" w:w="1944"/>
            <w:vAlign w:val="center"/>
          </w:tcPr>
          <w:p>
            <w:r/>
            <w:r>
              <w:rPr>
                <w:rFonts w:ascii="Aptos" w:hAnsi="Aptos"/>
                <w:b w:val="0"/>
                <w:sz w:val="18"/>
              </w:rPr>
              <w:t>Compromised credentials</w:t>
            </w:r>
          </w:p>
        </w:tc>
        <w:tc>
          <w:tcPr>
            <w:tcW w:type="dxa" w:w="1080"/>
            <w:vAlign w:val="center"/>
          </w:tcPr>
          <w:p>
            <w:r/>
            <w:r>
              <w:rPr>
                <w:rFonts w:ascii="Aptos" w:hAnsi="Aptos"/>
                <w:b w:val="0"/>
                <w:sz w:val="18"/>
              </w:rPr>
              <w:t>High</w:t>
            </w:r>
          </w:p>
        </w:tc>
        <w:tc>
          <w:tcPr>
            <w:tcW w:type="dxa" w:w="864"/>
            <w:vAlign w:val="center"/>
          </w:tcPr>
          <w:p>
            <w:r/>
            <w:r>
              <w:rPr>
                <w:rFonts w:ascii="Aptos" w:hAnsi="Aptos"/>
                <w:b w:val="0"/>
                <w:sz w:val="18"/>
              </w:rPr>
              <w:t>High</w:t>
            </w:r>
          </w:p>
        </w:tc>
        <w:tc>
          <w:tcPr>
            <w:tcW w:type="dxa" w:w="2880"/>
            <w:vAlign w:val="center"/>
          </w:tcPr>
          <w:p>
            <w:r/>
            <w:r>
              <w:rPr>
                <w:rFonts w:ascii="Aptos" w:hAnsi="Aptos"/>
                <w:b w:val="0"/>
                <w:sz w:val="18"/>
              </w:rPr>
              <w:t>Account takeover and data exposure</w:t>
            </w:r>
          </w:p>
        </w:tc>
        <w:tc>
          <w:tcPr>
            <w:tcW w:type="dxa" w:w="2880"/>
            <w:vAlign w:val="center"/>
          </w:tcPr>
          <w:p>
            <w:r/>
            <w:r>
              <w:rPr>
                <w:rFonts w:ascii="Aptos" w:hAnsi="Aptos"/>
                <w:b w:val="0"/>
                <w:sz w:val="18"/>
              </w:rPr>
              <w:t>MFA + password manager + compromised-password screening</w:t>
            </w:r>
          </w:p>
        </w:tc>
      </w:tr>
      <w:tr>
        <w:tc>
          <w:tcPr>
            <w:tcW w:type="dxa" w:w="648"/>
            <w:vAlign w:val="center"/>
          </w:tcPr>
          <w:p>
            <w:r/>
            <w:r>
              <w:rPr>
                <w:rFonts w:ascii="Aptos" w:hAnsi="Aptos"/>
                <w:b w:val="0"/>
                <w:sz w:val="18"/>
              </w:rPr>
              <w:t>R-03</w:t>
            </w:r>
          </w:p>
        </w:tc>
        <w:tc>
          <w:tcPr>
            <w:tcW w:type="dxa" w:w="1944"/>
            <w:vAlign w:val="center"/>
          </w:tcPr>
          <w:p>
            <w:r/>
            <w:r>
              <w:rPr>
                <w:rFonts w:ascii="Aptos" w:hAnsi="Aptos"/>
                <w:b w:val="0"/>
                <w:sz w:val="18"/>
              </w:rPr>
              <w:t>Unpatched critical systems</w:t>
            </w:r>
          </w:p>
        </w:tc>
        <w:tc>
          <w:tcPr>
            <w:tcW w:type="dxa" w:w="1080"/>
            <w:vAlign w:val="center"/>
          </w:tcPr>
          <w:p>
            <w:r/>
            <w:r>
              <w:rPr>
                <w:rFonts w:ascii="Aptos" w:hAnsi="Aptos"/>
                <w:b w:val="0"/>
                <w:sz w:val="18"/>
              </w:rPr>
              <w:t>High</w:t>
            </w:r>
          </w:p>
        </w:tc>
        <w:tc>
          <w:tcPr>
            <w:tcW w:type="dxa" w:w="864"/>
            <w:vAlign w:val="center"/>
          </w:tcPr>
          <w:p>
            <w:r/>
            <w:r>
              <w:rPr>
                <w:rFonts w:ascii="Aptos" w:hAnsi="Aptos"/>
                <w:b w:val="0"/>
                <w:sz w:val="18"/>
              </w:rPr>
              <w:t>High</w:t>
            </w:r>
          </w:p>
        </w:tc>
        <w:tc>
          <w:tcPr>
            <w:tcW w:type="dxa" w:w="2880"/>
            <w:vAlign w:val="center"/>
          </w:tcPr>
          <w:p>
            <w:r/>
            <w:r>
              <w:rPr>
                <w:rFonts w:ascii="Aptos" w:hAnsi="Aptos"/>
                <w:b w:val="0"/>
                <w:sz w:val="18"/>
              </w:rPr>
              <w:t>Exploitation of known vulnerabilities</w:t>
            </w:r>
          </w:p>
        </w:tc>
        <w:tc>
          <w:tcPr>
            <w:tcW w:type="dxa" w:w="2880"/>
            <w:vAlign w:val="center"/>
          </w:tcPr>
          <w:p>
            <w:r/>
            <w:r>
              <w:rPr>
                <w:rFonts w:ascii="Aptos" w:hAnsi="Aptos"/>
                <w:b w:val="0"/>
                <w:sz w:val="18"/>
              </w:rPr>
              <w:t>Patch SLAs + centralized compliance monitoring</w:t>
            </w:r>
          </w:p>
        </w:tc>
      </w:tr>
      <w:tr>
        <w:tc>
          <w:tcPr>
            <w:tcW w:type="dxa" w:w="648"/>
            <w:vAlign w:val="center"/>
          </w:tcPr>
          <w:p>
            <w:r/>
            <w:r>
              <w:rPr>
                <w:rFonts w:ascii="Aptos" w:hAnsi="Aptos"/>
                <w:b w:val="0"/>
                <w:sz w:val="18"/>
              </w:rPr>
              <w:t>R-04</w:t>
            </w:r>
          </w:p>
        </w:tc>
        <w:tc>
          <w:tcPr>
            <w:tcW w:type="dxa" w:w="1944"/>
            <w:vAlign w:val="center"/>
          </w:tcPr>
          <w:p>
            <w:r/>
            <w:r>
              <w:rPr>
                <w:rFonts w:ascii="Aptos" w:hAnsi="Aptos"/>
                <w:b w:val="0"/>
                <w:sz w:val="18"/>
              </w:rPr>
              <w:t>Insufficient logging</w:t>
            </w:r>
          </w:p>
        </w:tc>
        <w:tc>
          <w:tcPr>
            <w:tcW w:type="dxa" w:w="1080"/>
            <w:vAlign w:val="center"/>
          </w:tcPr>
          <w:p>
            <w:r/>
            <w:r>
              <w:rPr>
                <w:rFonts w:ascii="Aptos" w:hAnsi="Aptos"/>
                <w:b w:val="0"/>
                <w:sz w:val="18"/>
              </w:rPr>
              <w:t>Medium</w:t>
            </w:r>
          </w:p>
        </w:tc>
        <w:tc>
          <w:tcPr>
            <w:tcW w:type="dxa" w:w="864"/>
            <w:vAlign w:val="center"/>
          </w:tcPr>
          <w:p>
            <w:r/>
            <w:r>
              <w:rPr>
                <w:rFonts w:ascii="Aptos" w:hAnsi="Aptos"/>
                <w:b w:val="0"/>
                <w:sz w:val="18"/>
              </w:rPr>
              <w:t>High</w:t>
            </w:r>
          </w:p>
        </w:tc>
        <w:tc>
          <w:tcPr>
            <w:tcW w:type="dxa" w:w="2880"/>
            <w:vAlign w:val="center"/>
          </w:tcPr>
          <w:p>
            <w:r/>
            <w:r>
              <w:rPr>
                <w:rFonts w:ascii="Aptos" w:hAnsi="Aptos"/>
                <w:b w:val="0"/>
                <w:sz w:val="18"/>
              </w:rPr>
              <w:t>Delayed detection and investigation</w:t>
            </w:r>
          </w:p>
        </w:tc>
        <w:tc>
          <w:tcPr>
            <w:tcW w:type="dxa" w:w="2880"/>
            <w:vAlign w:val="center"/>
          </w:tcPr>
          <w:p>
            <w:r/>
            <w:r>
              <w:rPr>
                <w:rFonts w:ascii="Aptos" w:hAnsi="Aptos"/>
                <w:b w:val="0"/>
                <w:sz w:val="18"/>
              </w:rPr>
              <w:t>Central logging + alerting + protected retention</w:t>
            </w:r>
          </w:p>
        </w:tc>
      </w:tr>
      <w:tr>
        <w:tc>
          <w:tcPr>
            <w:tcW w:type="dxa" w:w="648"/>
            <w:vAlign w:val="center"/>
          </w:tcPr>
          <w:p>
            <w:r/>
            <w:r>
              <w:rPr>
                <w:rFonts w:ascii="Aptos" w:hAnsi="Aptos"/>
                <w:b w:val="0"/>
                <w:sz w:val="18"/>
              </w:rPr>
              <w:t>R-05</w:t>
            </w:r>
          </w:p>
        </w:tc>
        <w:tc>
          <w:tcPr>
            <w:tcW w:type="dxa" w:w="1944"/>
            <w:vAlign w:val="center"/>
          </w:tcPr>
          <w:p>
            <w:r/>
            <w:r>
              <w:rPr>
                <w:rFonts w:ascii="Aptos" w:hAnsi="Aptos"/>
                <w:b w:val="0"/>
                <w:sz w:val="18"/>
              </w:rPr>
              <w:t>Weak incident process</w:t>
            </w:r>
          </w:p>
        </w:tc>
        <w:tc>
          <w:tcPr>
            <w:tcW w:type="dxa" w:w="1080"/>
            <w:vAlign w:val="center"/>
          </w:tcPr>
          <w:p>
            <w:r/>
            <w:r>
              <w:rPr>
                <w:rFonts w:ascii="Aptos" w:hAnsi="Aptos"/>
                <w:b w:val="0"/>
                <w:sz w:val="18"/>
              </w:rPr>
              <w:t>Medium</w:t>
            </w:r>
          </w:p>
        </w:tc>
        <w:tc>
          <w:tcPr>
            <w:tcW w:type="dxa" w:w="864"/>
            <w:vAlign w:val="center"/>
          </w:tcPr>
          <w:p>
            <w:r/>
            <w:r>
              <w:rPr>
                <w:rFonts w:ascii="Aptos" w:hAnsi="Aptos"/>
                <w:b w:val="0"/>
                <w:sz w:val="18"/>
              </w:rPr>
              <w:t>High</w:t>
            </w:r>
          </w:p>
        </w:tc>
        <w:tc>
          <w:tcPr>
            <w:tcW w:type="dxa" w:w="2880"/>
            <w:vAlign w:val="center"/>
          </w:tcPr>
          <w:p>
            <w:r/>
            <w:r>
              <w:rPr>
                <w:rFonts w:ascii="Aptos" w:hAnsi="Aptos"/>
                <w:b w:val="0"/>
                <w:sz w:val="18"/>
              </w:rPr>
              <w:t>Inconsistent response and evidence loss</w:t>
            </w:r>
          </w:p>
        </w:tc>
        <w:tc>
          <w:tcPr>
            <w:tcW w:type="dxa" w:w="2880"/>
            <w:vAlign w:val="center"/>
          </w:tcPr>
          <w:p>
            <w:r/>
            <w:r>
              <w:rPr>
                <w:rFonts w:ascii="Aptos" w:hAnsi="Aptos"/>
                <w:b w:val="0"/>
                <w:sz w:val="18"/>
              </w:rPr>
              <w:t>IR plan + severity model + exercises</w:t>
            </w:r>
          </w:p>
        </w:tc>
      </w:tr>
      <w:tr>
        <w:tc>
          <w:tcPr>
            <w:tcW w:type="dxa" w:w="648"/>
            <w:vAlign w:val="center"/>
          </w:tcPr>
          <w:p>
            <w:r/>
            <w:r>
              <w:rPr>
                <w:rFonts w:ascii="Aptos" w:hAnsi="Aptos"/>
                <w:b w:val="0"/>
                <w:sz w:val="18"/>
              </w:rPr>
              <w:t>R-06</w:t>
            </w:r>
          </w:p>
        </w:tc>
        <w:tc>
          <w:tcPr>
            <w:tcW w:type="dxa" w:w="1944"/>
            <w:vAlign w:val="center"/>
          </w:tcPr>
          <w:p>
            <w:r/>
            <w:r>
              <w:rPr>
                <w:rFonts w:ascii="Aptos" w:hAnsi="Aptos"/>
                <w:b w:val="0"/>
                <w:sz w:val="18"/>
              </w:rPr>
              <w:t>Poor data handling</w:t>
            </w:r>
          </w:p>
        </w:tc>
        <w:tc>
          <w:tcPr>
            <w:tcW w:type="dxa" w:w="1080"/>
            <w:vAlign w:val="center"/>
          </w:tcPr>
          <w:p>
            <w:r/>
            <w:r>
              <w:rPr>
                <w:rFonts w:ascii="Aptos" w:hAnsi="Aptos"/>
                <w:b w:val="0"/>
                <w:sz w:val="18"/>
              </w:rPr>
              <w:t>Medium</w:t>
            </w:r>
          </w:p>
        </w:tc>
        <w:tc>
          <w:tcPr>
            <w:tcW w:type="dxa" w:w="864"/>
            <w:vAlign w:val="center"/>
          </w:tcPr>
          <w:p>
            <w:r/>
            <w:r>
              <w:rPr>
                <w:rFonts w:ascii="Aptos" w:hAnsi="Aptos"/>
                <w:b w:val="0"/>
                <w:sz w:val="18"/>
              </w:rPr>
              <w:t>High</w:t>
            </w:r>
          </w:p>
        </w:tc>
        <w:tc>
          <w:tcPr>
            <w:tcW w:type="dxa" w:w="2880"/>
            <w:vAlign w:val="center"/>
          </w:tcPr>
          <w:p>
            <w:r/>
            <w:r>
              <w:rPr>
                <w:rFonts w:ascii="Aptos" w:hAnsi="Aptos"/>
                <w:b w:val="0"/>
                <w:sz w:val="18"/>
              </w:rPr>
              <w:t>Disclosure or accidental sharing</w:t>
            </w:r>
          </w:p>
        </w:tc>
        <w:tc>
          <w:tcPr>
            <w:tcW w:type="dxa" w:w="2880"/>
            <w:vAlign w:val="center"/>
          </w:tcPr>
          <w:p>
            <w:r/>
            <w:r>
              <w:rPr>
                <w:rFonts w:ascii="Aptos" w:hAnsi="Aptos"/>
                <w:b w:val="0"/>
                <w:sz w:val="18"/>
              </w:rPr>
              <w:t>Classification + encryption + retention rules</w:t>
            </w:r>
          </w:p>
        </w:tc>
      </w:tr>
      <w:tr>
        <w:tc>
          <w:tcPr>
            <w:tcW w:type="dxa" w:w="648"/>
            <w:vAlign w:val="center"/>
          </w:tcPr>
          <w:p>
            <w:r/>
            <w:r>
              <w:rPr>
                <w:rFonts w:ascii="Aptos" w:hAnsi="Aptos"/>
                <w:b w:val="0"/>
                <w:sz w:val="18"/>
              </w:rPr>
              <w:t>R-07</w:t>
            </w:r>
          </w:p>
        </w:tc>
        <w:tc>
          <w:tcPr>
            <w:tcW w:type="dxa" w:w="1944"/>
            <w:vAlign w:val="center"/>
          </w:tcPr>
          <w:p>
            <w:r/>
            <w:r>
              <w:rPr>
                <w:rFonts w:ascii="Aptos" w:hAnsi="Aptos"/>
                <w:b w:val="0"/>
                <w:sz w:val="18"/>
              </w:rPr>
              <w:t>Backup failure</w:t>
            </w:r>
          </w:p>
        </w:tc>
        <w:tc>
          <w:tcPr>
            <w:tcW w:type="dxa" w:w="1080"/>
            <w:vAlign w:val="center"/>
          </w:tcPr>
          <w:p>
            <w:r/>
            <w:r>
              <w:rPr>
                <w:rFonts w:ascii="Aptos" w:hAnsi="Aptos"/>
                <w:b w:val="0"/>
                <w:sz w:val="18"/>
              </w:rPr>
              <w:t>Medium</w:t>
            </w:r>
          </w:p>
        </w:tc>
        <w:tc>
          <w:tcPr>
            <w:tcW w:type="dxa" w:w="864"/>
            <w:vAlign w:val="center"/>
          </w:tcPr>
          <w:p>
            <w:r/>
            <w:r>
              <w:rPr>
                <w:rFonts w:ascii="Aptos" w:hAnsi="Aptos"/>
                <w:b w:val="0"/>
                <w:sz w:val="18"/>
              </w:rPr>
              <w:t>High</w:t>
            </w:r>
          </w:p>
        </w:tc>
        <w:tc>
          <w:tcPr>
            <w:tcW w:type="dxa" w:w="2880"/>
            <w:vAlign w:val="center"/>
          </w:tcPr>
          <w:p>
            <w:r/>
            <w:r>
              <w:rPr>
                <w:rFonts w:ascii="Aptos" w:hAnsi="Aptos"/>
                <w:b w:val="0"/>
                <w:sz w:val="18"/>
              </w:rPr>
              <w:t>Extended service outage or data loss</w:t>
            </w:r>
          </w:p>
        </w:tc>
        <w:tc>
          <w:tcPr>
            <w:tcW w:type="dxa" w:w="2880"/>
            <w:vAlign w:val="center"/>
          </w:tcPr>
          <w:p>
            <w:r/>
            <w:r>
              <w:rPr>
                <w:rFonts w:ascii="Aptos" w:hAnsi="Aptos"/>
                <w:b w:val="0"/>
                <w:sz w:val="18"/>
              </w:rPr>
              <w:t>Protected backups + restore testing</w:t>
            </w:r>
          </w:p>
        </w:tc>
      </w:tr>
      <w:tr>
        <w:tc>
          <w:tcPr>
            <w:tcW w:type="dxa" w:w="648"/>
            <w:vAlign w:val="center"/>
          </w:tcPr>
          <w:p>
            <w:r/>
            <w:r>
              <w:rPr>
                <w:rFonts w:ascii="Aptos" w:hAnsi="Aptos"/>
                <w:b w:val="0"/>
                <w:sz w:val="18"/>
              </w:rPr>
              <w:t>R-08</w:t>
            </w:r>
          </w:p>
        </w:tc>
        <w:tc>
          <w:tcPr>
            <w:tcW w:type="dxa" w:w="1944"/>
            <w:vAlign w:val="center"/>
          </w:tcPr>
          <w:p>
            <w:r/>
            <w:r>
              <w:rPr>
                <w:rFonts w:ascii="Aptos" w:hAnsi="Aptos"/>
                <w:b w:val="0"/>
                <w:sz w:val="18"/>
              </w:rPr>
              <w:t>Vendor compromise</w:t>
            </w:r>
          </w:p>
        </w:tc>
        <w:tc>
          <w:tcPr>
            <w:tcW w:type="dxa" w:w="1080"/>
            <w:vAlign w:val="center"/>
          </w:tcPr>
          <w:p>
            <w:r/>
            <w:r>
              <w:rPr>
                <w:rFonts w:ascii="Aptos" w:hAnsi="Aptos"/>
                <w:b w:val="0"/>
                <w:sz w:val="18"/>
              </w:rPr>
              <w:t>Medium</w:t>
            </w:r>
          </w:p>
        </w:tc>
        <w:tc>
          <w:tcPr>
            <w:tcW w:type="dxa" w:w="864"/>
            <w:vAlign w:val="center"/>
          </w:tcPr>
          <w:p>
            <w:r/>
            <w:r>
              <w:rPr>
                <w:rFonts w:ascii="Aptos" w:hAnsi="Aptos"/>
                <w:b w:val="0"/>
                <w:sz w:val="18"/>
              </w:rPr>
              <w:t>High</w:t>
            </w:r>
          </w:p>
        </w:tc>
        <w:tc>
          <w:tcPr>
            <w:tcW w:type="dxa" w:w="2880"/>
            <w:vAlign w:val="center"/>
          </w:tcPr>
          <w:p>
            <w:r/>
            <w:r>
              <w:rPr>
                <w:rFonts w:ascii="Aptos" w:hAnsi="Aptos"/>
                <w:b w:val="0"/>
                <w:sz w:val="18"/>
              </w:rPr>
              <w:t>Third-party pathway into systems/data</w:t>
            </w:r>
          </w:p>
        </w:tc>
        <w:tc>
          <w:tcPr>
            <w:tcW w:type="dxa" w:w="2880"/>
            <w:vAlign w:val="center"/>
          </w:tcPr>
          <w:p>
            <w:r/>
            <w:r>
              <w:rPr>
                <w:rFonts w:ascii="Aptos" w:hAnsi="Aptos"/>
                <w:b w:val="0"/>
                <w:sz w:val="18"/>
              </w:rPr>
              <w:t>Vendor risk assessment + contractual controls</w:t>
            </w:r>
          </w:p>
        </w:tc>
      </w:tr>
      <w:tr>
        <w:tc>
          <w:tcPr>
            <w:tcW w:type="dxa" w:w="648"/>
            <w:vAlign w:val="center"/>
          </w:tcPr>
          <w:p>
            <w:r/>
            <w:r>
              <w:rPr>
                <w:rFonts w:ascii="Aptos" w:hAnsi="Aptos"/>
                <w:b w:val="0"/>
                <w:sz w:val="18"/>
              </w:rPr>
              <w:t>R-09</w:t>
            </w:r>
          </w:p>
        </w:tc>
        <w:tc>
          <w:tcPr>
            <w:tcW w:type="dxa" w:w="1944"/>
            <w:vAlign w:val="center"/>
          </w:tcPr>
          <w:p>
            <w:r/>
            <w:r>
              <w:rPr>
                <w:rFonts w:ascii="Aptos" w:hAnsi="Aptos"/>
                <w:b w:val="0"/>
                <w:sz w:val="18"/>
              </w:rPr>
              <w:t>Low awareness</w:t>
            </w:r>
          </w:p>
        </w:tc>
        <w:tc>
          <w:tcPr>
            <w:tcW w:type="dxa" w:w="1080"/>
            <w:vAlign w:val="center"/>
          </w:tcPr>
          <w:p>
            <w:r/>
            <w:r>
              <w:rPr>
                <w:rFonts w:ascii="Aptos" w:hAnsi="Aptos"/>
                <w:b w:val="0"/>
                <w:sz w:val="18"/>
              </w:rPr>
              <w:t>Medium</w:t>
            </w:r>
          </w:p>
        </w:tc>
        <w:tc>
          <w:tcPr>
            <w:tcW w:type="dxa" w:w="864"/>
            <w:vAlign w:val="center"/>
          </w:tcPr>
          <w:p>
            <w:r/>
            <w:r>
              <w:rPr>
                <w:rFonts w:ascii="Aptos" w:hAnsi="Aptos"/>
                <w:b w:val="0"/>
                <w:sz w:val="18"/>
              </w:rPr>
              <w:t>Medium</w:t>
            </w:r>
          </w:p>
        </w:tc>
        <w:tc>
          <w:tcPr>
            <w:tcW w:type="dxa" w:w="2880"/>
            <w:vAlign w:val="center"/>
          </w:tcPr>
          <w:p>
            <w:r/>
            <w:r>
              <w:rPr>
                <w:rFonts w:ascii="Aptos" w:hAnsi="Aptos"/>
                <w:b w:val="0"/>
                <w:sz w:val="18"/>
              </w:rPr>
              <w:t>Phishing and social-engineering exposure</w:t>
            </w:r>
          </w:p>
        </w:tc>
        <w:tc>
          <w:tcPr>
            <w:tcW w:type="dxa" w:w="2880"/>
            <w:vAlign w:val="center"/>
          </w:tcPr>
          <w:p>
            <w:r/>
            <w:r>
              <w:rPr>
                <w:rFonts w:ascii="Aptos" w:hAnsi="Aptos"/>
                <w:b w:val="0"/>
                <w:sz w:val="18"/>
              </w:rPr>
              <w:t>Training + simulations + reporting process</w:t>
            </w:r>
          </w:p>
        </w:tc>
      </w:tr>
      <w:tr>
        <w:tc>
          <w:tcPr>
            <w:tcW w:type="dxa" w:w="648"/>
            <w:vAlign w:val="center"/>
          </w:tcPr>
          <w:p>
            <w:r/>
            <w:r>
              <w:rPr>
                <w:rFonts w:ascii="Aptos" w:hAnsi="Aptos"/>
                <w:b w:val="0"/>
                <w:sz w:val="18"/>
              </w:rPr>
              <w:t>R-10</w:t>
            </w:r>
          </w:p>
        </w:tc>
        <w:tc>
          <w:tcPr>
            <w:tcW w:type="dxa" w:w="1944"/>
            <w:vAlign w:val="center"/>
          </w:tcPr>
          <w:p>
            <w:r/>
            <w:r>
              <w:rPr>
                <w:rFonts w:ascii="Aptos" w:hAnsi="Aptos"/>
                <w:b w:val="0"/>
                <w:sz w:val="18"/>
              </w:rPr>
              <w:t>Uncontrolled exceptions</w:t>
            </w:r>
          </w:p>
        </w:tc>
        <w:tc>
          <w:tcPr>
            <w:tcW w:type="dxa" w:w="1080"/>
            <w:vAlign w:val="center"/>
          </w:tcPr>
          <w:p>
            <w:r/>
            <w:r>
              <w:rPr>
                <w:rFonts w:ascii="Aptos" w:hAnsi="Aptos"/>
                <w:b w:val="0"/>
                <w:sz w:val="18"/>
              </w:rPr>
              <w:t>Low</w:t>
            </w:r>
          </w:p>
        </w:tc>
        <w:tc>
          <w:tcPr>
            <w:tcW w:type="dxa" w:w="864"/>
            <w:vAlign w:val="center"/>
          </w:tcPr>
          <w:p>
            <w:r/>
            <w:r>
              <w:rPr>
                <w:rFonts w:ascii="Aptos" w:hAnsi="Aptos"/>
                <w:b w:val="0"/>
                <w:sz w:val="18"/>
              </w:rPr>
              <w:t>Medium</w:t>
            </w:r>
          </w:p>
        </w:tc>
        <w:tc>
          <w:tcPr>
            <w:tcW w:type="dxa" w:w="2880"/>
            <w:vAlign w:val="center"/>
          </w:tcPr>
          <w:p>
            <w:r/>
            <w:r>
              <w:rPr>
                <w:rFonts w:ascii="Aptos" w:hAnsi="Aptos"/>
                <w:b w:val="0"/>
                <w:sz w:val="18"/>
              </w:rPr>
              <w:t>Security bypasses becoming permanent</w:t>
            </w:r>
          </w:p>
        </w:tc>
        <w:tc>
          <w:tcPr>
            <w:tcW w:type="dxa" w:w="2880"/>
            <w:vAlign w:val="center"/>
          </w:tcPr>
          <w:p>
            <w:r/>
            <w:r>
              <w:rPr>
                <w:rFonts w:ascii="Aptos" w:hAnsi="Aptos"/>
                <w:b w:val="0"/>
                <w:sz w:val="18"/>
              </w:rPr>
              <w:t>Exception register + expiry + compensating controls</w:t>
            </w:r>
          </w:p>
        </w:tc>
      </w:tr>
    </w:tbl>
    <w:p/>
    <w:p>
      <w:pPr>
        <w:pStyle w:val="Heading1"/>
      </w:pPr>
      <w:r>
        <w:t>8. Recommended Policy Improvements</w:t>
      </w:r>
    </w:p>
    <w:p>
      <w:r>
        <w:t>The improved policy should move from general advice to requirements that are specific enough to implement and audit.</w:t>
      </w:r>
    </w:p>
    <w:tbl>
      <w:tblPr>
        <w:tblStyle w:val="TableGrid"/>
        <w:tblW w:type="auto" w:w="0"/>
        <w:jc w:val="center"/>
        <w:tblLook w:firstColumn="1" w:firstRow="1" w:lastColumn="0" w:lastRow="0" w:noHBand="0" w:noVBand="1" w:val="04A0"/>
      </w:tblPr>
      <w:tblGrid>
        <w:gridCol w:w="4968"/>
        <w:gridCol w:w="4968"/>
      </w:tblGrid>
      <w:tr>
        <w:tc>
          <w:tcPr>
            <w:tcW w:type="dxa" w:w="1800"/>
            <w:vAlign w:val="center"/>
            <w:shd w:fill="D9E2F3"/>
          </w:tcPr>
          <w:p>
            <w:r/>
            <w:r>
              <w:rPr>
                <w:rFonts w:ascii="Aptos" w:hAnsi="Aptos"/>
                <w:b/>
                <w:sz w:val="18"/>
              </w:rPr>
              <w:t>Control</w:t>
            </w:r>
          </w:p>
        </w:tc>
        <w:tc>
          <w:tcPr>
            <w:tcW w:type="dxa" w:w="8496"/>
            <w:vAlign w:val="center"/>
            <w:shd w:fill="D9E2F3"/>
          </w:tcPr>
          <w:p>
            <w:r/>
            <w:r>
              <w:rPr>
                <w:rFonts w:ascii="Aptos" w:hAnsi="Aptos"/>
                <w:b/>
                <w:sz w:val="18"/>
              </w:rPr>
              <w:t>Improved Policy Statement</w:t>
            </w:r>
          </w:p>
        </w:tc>
      </w:tr>
      <w:tr>
        <w:tc>
          <w:tcPr>
            <w:tcW w:type="dxa" w:w="1800"/>
            <w:vAlign w:val="center"/>
          </w:tcPr>
          <w:p>
            <w:r/>
            <w:r>
              <w:rPr>
                <w:rFonts w:ascii="Aptos" w:hAnsi="Aptos"/>
                <w:b w:val="0"/>
                <w:sz w:val="18"/>
              </w:rPr>
              <w:t>Access</w:t>
            </w:r>
          </w:p>
        </w:tc>
        <w:tc>
          <w:tcPr>
            <w:tcW w:type="dxa" w:w="8496"/>
            <w:vAlign w:val="center"/>
          </w:tcPr>
          <w:p>
            <w:r/>
            <w:r>
              <w:rPr>
                <w:rFonts w:ascii="Aptos" w:hAnsi="Aptos"/>
                <w:b w:val="0"/>
                <w:sz w:val="18"/>
              </w:rPr>
              <w:t>Access shall be granted according to job responsibilities and approved by an authorized owner. Sensitive access shall be reviewed at least quarterly.</w:t>
            </w:r>
          </w:p>
        </w:tc>
      </w:tr>
      <w:tr>
        <w:tc>
          <w:tcPr>
            <w:tcW w:type="dxa" w:w="1800"/>
            <w:vAlign w:val="center"/>
          </w:tcPr>
          <w:p>
            <w:r/>
            <w:r>
              <w:rPr>
                <w:rFonts w:ascii="Aptos" w:hAnsi="Aptos"/>
                <w:b w:val="0"/>
                <w:sz w:val="18"/>
              </w:rPr>
              <w:t>MFA</w:t>
            </w:r>
          </w:p>
        </w:tc>
        <w:tc>
          <w:tcPr>
            <w:tcW w:type="dxa" w:w="8496"/>
            <w:vAlign w:val="center"/>
          </w:tcPr>
          <w:p>
            <w:r/>
            <w:r>
              <w:rPr>
                <w:rFonts w:ascii="Aptos" w:hAnsi="Aptos"/>
                <w:b w:val="0"/>
                <w:sz w:val="18"/>
              </w:rPr>
              <w:t>Multi-factor authentication shall be required for privileged accounts, remote access and designated high-value services.</w:t>
            </w:r>
          </w:p>
        </w:tc>
      </w:tr>
      <w:tr>
        <w:tc>
          <w:tcPr>
            <w:tcW w:type="dxa" w:w="1800"/>
            <w:vAlign w:val="center"/>
          </w:tcPr>
          <w:p>
            <w:r/>
            <w:r>
              <w:rPr>
                <w:rFonts w:ascii="Aptos" w:hAnsi="Aptos"/>
                <w:b w:val="0"/>
                <w:sz w:val="18"/>
              </w:rPr>
              <w:t>Passwords</w:t>
            </w:r>
          </w:p>
        </w:tc>
        <w:tc>
          <w:tcPr>
            <w:tcW w:type="dxa" w:w="8496"/>
            <w:vAlign w:val="center"/>
          </w:tcPr>
          <w:p>
            <w:r/>
            <w:r>
              <w:rPr>
                <w:rFonts w:ascii="Aptos" w:hAnsi="Aptos"/>
                <w:b w:val="0"/>
                <w:sz w:val="18"/>
              </w:rPr>
              <w:t>Organizational credentials shall meet defined password requirements and shall not be shared. A managed password manager should be used where approved.</w:t>
            </w:r>
          </w:p>
        </w:tc>
      </w:tr>
      <w:tr>
        <w:tc>
          <w:tcPr>
            <w:tcW w:type="dxa" w:w="1800"/>
            <w:vAlign w:val="center"/>
          </w:tcPr>
          <w:p>
            <w:r/>
            <w:r>
              <w:rPr>
                <w:rFonts w:ascii="Aptos" w:hAnsi="Aptos"/>
                <w:b w:val="0"/>
                <w:sz w:val="18"/>
              </w:rPr>
              <w:t>Patching</w:t>
            </w:r>
          </w:p>
        </w:tc>
        <w:tc>
          <w:tcPr>
            <w:tcW w:type="dxa" w:w="8496"/>
            <w:vAlign w:val="center"/>
          </w:tcPr>
          <w:p>
            <w:r/>
            <w:r>
              <w:rPr>
                <w:rFonts w:ascii="Aptos" w:hAnsi="Aptos"/>
                <w:b w:val="0"/>
                <w:sz w:val="18"/>
              </w:rPr>
              <w:t>Critical security updates shall be prioritized according to defined service-level targets. Exceptions shall be documented, approved and time-limited.</w:t>
            </w:r>
          </w:p>
        </w:tc>
      </w:tr>
      <w:tr>
        <w:tc>
          <w:tcPr>
            <w:tcW w:type="dxa" w:w="1800"/>
            <w:vAlign w:val="center"/>
          </w:tcPr>
          <w:p>
            <w:r/>
            <w:r>
              <w:rPr>
                <w:rFonts w:ascii="Aptos" w:hAnsi="Aptos"/>
                <w:b w:val="0"/>
                <w:sz w:val="18"/>
              </w:rPr>
              <w:t>Data</w:t>
            </w:r>
          </w:p>
        </w:tc>
        <w:tc>
          <w:tcPr>
            <w:tcW w:type="dxa" w:w="8496"/>
            <w:vAlign w:val="center"/>
          </w:tcPr>
          <w:p>
            <w:r/>
            <w:r>
              <w:rPr>
                <w:rFonts w:ascii="Aptos" w:hAnsi="Aptos"/>
                <w:b w:val="0"/>
                <w:sz w:val="18"/>
              </w:rPr>
              <w:t>Information shall be classified and handled according to its classification. Restricted information shall use approved storage and transmission mechanisms.</w:t>
            </w:r>
          </w:p>
        </w:tc>
      </w:tr>
      <w:tr>
        <w:tc>
          <w:tcPr>
            <w:tcW w:type="dxa" w:w="1800"/>
            <w:vAlign w:val="center"/>
          </w:tcPr>
          <w:p>
            <w:r/>
            <w:r>
              <w:rPr>
                <w:rFonts w:ascii="Aptos" w:hAnsi="Aptos"/>
                <w:b w:val="0"/>
                <w:sz w:val="18"/>
              </w:rPr>
              <w:t>Logging</w:t>
            </w:r>
          </w:p>
        </w:tc>
        <w:tc>
          <w:tcPr>
            <w:tcW w:type="dxa" w:w="8496"/>
            <w:vAlign w:val="center"/>
          </w:tcPr>
          <w:p>
            <w:r/>
            <w:r>
              <w:rPr>
                <w:rFonts w:ascii="Aptos" w:hAnsi="Aptos"/>
                <w:b w:val="0"/>
                <w:sz w:val="18"/>
              </w:rPr>
              <w:t>Security-relevant events shall be logged, protected from unauthorized alteration and retained according to documented requirements.</w:t>
            </w:r>
          </w:p>
        </w:tc>
      </w:tr>
      <w:tr>
        <w:tc>
          <w:tcPr>
            <w:tcW w:type="dxa" w:w="1800"/>
            <w:vAlign w:val="center"/>
          </w:tcPr>
          <w:p>
            <w:r/>
            <w:r>
              <w:rPr>
                <w:rFonts w:ascii="Aptos" w:hAnsi="Aptos"/>
                <w:b w:val="0"/>
                <w:sz w:val="18"/>
              </w:rPr>
              <w:t>Incidents</w:t>
            </w:r>
          </w:p>
        </w:tc>
        <w:tc>
          <w:tcPr>
            <w:tcW w:type="dxa" w:w="8496"/>
            <w:vAlign w:val="center"/>
          </w:tcPr>
          <w:p>
            <w:r/>
            <w:r>
              <w:rPr>
                <w:rFonts w:ascii="Aptos" w:hAnsi="Aptos"/>
                <w:b w:val="0"/>
                <w:sz w:val="18"/>
              </w:rPr>
              <w:t>Suspected security incidents shall be reported through the defined reporting channel without delay. Response shall follow the incident severity and escalation procedure.</w:t>
            </w:r>
          </w:p>
        </w:tc>
      </w:tr>
      <w:tr>
        <w:tc>
          <w:tcPr>
            <w:tcW w:type="dxa" w:w="1800"/>
            <w:vAlign w:val="center"/>
          </w:tcPr>
          <w:p>
            <w:r/>
            <w:r>
              <w:rPr>
                <w:rFonts w:ascii="Aptos" w:hAnsi="Aptos"/>
                <w:b w:val="0"/>
                <w:sz w:val="18"/>
              </w:rPr>
              <w:t>Backups</w:t>
            </w:r>
          </w:p>
        </w:tc>
        <w:tc>
          <w:tcPr>
            <w:tcW w:type="dxa" w:w="8496"/>
            <w:vAlign w:val="center"/>
          </w:tcPr>
          <w:p>
            <w:r/>
            <w:r>
              <w:rPr>
                <w:rFonts w:ascii="Aptos" w:hAnsi="Aptos"/>
                <w:b w:val="0"/>
                <w:sz w:val="18"/>
              </w:rPr>
              <w:t>Critical systems shall have documented backup and restoration procedures, and restoration tests shall be performed on a defined schedule.</w:t>
            </w:r>
          </w:p>
        </w:tc>
      </w:tr>
      <w:tr>
        <w:tc>
          <w:tcPr>
            <w:tcW w:type="dxa" w:w="1800"/>
            <w:vAlign w:val="center"/>
          </w:tcPr>
          <w:p>
            <w:r/>
            <w:r>
              <w:rPr>
                <w:rFonts w:ascii="Aptos" w:hAnsi="Aptos"/>
                <w:b w:val="0"/>
                <w:sz w:val="18"/>
              </w:rPr>
              <w:t>Vendors</w:t>
            </w:r>
          </w:p>
        </w:tc>
        <w:tc>
          <w:tcPr>
            <w:tcW w:type="dxa" w:w="8496"/>
            <w:vAlign w:val="center"/>
          </w:tcPr>
          <w:p>
            <w:r/>
            <w:r>
              <w:rPr>
                <w:rFonts w:ascii="Aptos" w:hAnsi="Aptos"/>
                <w:b w:val="0"/>
                <w:sz w:val="18"/>
              </w:rPr>
              <w:t>Third parties shall be assessed according to risk before sensitive access is granted and shall meet contractual security requirements.</w:t>
            </w:r>
          </w:p>
        </w:tc>
      </w:tr>
      <w:tr>
        <w:tc>
          <w:tcPr>
            <w:tcW w:type="dxa" w:w="1800"/>
            <w:vAlign w:val="center"/>
          </w:tcPr>
          <w:p>
            <w:r/>
            <w:r>
              <w:rPr>
                <w:rFonts w:ascii="Aptos" w:hAnsi="Aptos"/>
                <w:b w:val="0"/>
                <w:sz w:val="18"/>
              </w:rPr>
              <w:t>Exceptions</w:t>
            </w:r>
          </w:p>
        </w:tc>
        <w:tc>
          <w:tcPr>
            <w:tcW w:type="dxa" w:w="8496"/>
            <w:vAlign w:val="center"/>
          </w:tcPr>
          <w:p>
            <w:r/>
            <w:r>
              <w:rPr>
                <w:rFonts w:ascii="Aptos" w:hAnsi="Aptos"/>
                <w:b w:val="0"/>
                <w:sz w:val="18"/>
              </w:rPr>
              <w:t>Policy exceptions shall require documented business justification, risk acceptance, compensating controls where applicable and an expiry date.</w:t>
            </w:r>
          </w:p>
        </w:tc>
      </w:tr>
    </w:tbl>
    <w:p/>
    <w:p>
      <w:r>
        <w:br w:type="page"/>
      </w:r>
    </w:p>
    <w:p>
      <w:pPr>
        <w:pStyle w:val="Heading1"/>
      </w:pPr>
      <w:r>
        <w:t>9. Implementation Roadmap</w:t>
      </w:r>
    </w:p>
    <w:p>
      <w:r>
        <w:t>A phased implementation reduces disruption and allows the organization to establish foundational controls before adding more advanced processes.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vAlign w:val="center"/>
            <w:shd w:fill="D9E2F3"/>
          </w:tcPr>
          <w:p>
            <w:r/>
            <w:r>
              <w:rPr>
                <w:rFonts w:ascii="Aptos" w:hAnsi="Aptos"/>
                <w:b/>
                <w:sz w:val="18"/>
              </w:rPr>
              <w:t>Phase</w:t>
            </w:r>
          </w:p>
        </w:tc>
        <w:tc>
          <w:tcPr>
            <w:tcW w:type="dxa" w:w="4464"/>
            <w:vAlign w:val="center"/>
            <w:shd w:fill="D9E2F3"/>
          </w:tcPr>
          <w:p>
            <w:r/>
            <w:r>
              <w:rPr>
                <w:rFonts w:ascii="Aptos" w:hAnsi="Aptos"/>
                <w:b/>
                <w:sz w:val="18"/>
              </w:rPr>
              <w:t>Key Actions</w:t>
            </w:r>
          </w:p>
        </w:tc>
        <w:tc>
          <w:tcPr>
            <w:tcW w:type="dxa" w:w="1800"/>
            <w:vAlign w:val="center"/>
            <w:shd w:fill="D9E2F3"/>
          </w:tcPr>
          <w:p>
            <w:r/>
            <w:r>
              <w:rPr>
                <w:rFonts w:ascii="Aptos" w:hAnsi="Aptos"/>
                <w:b/>
                <w:sz w:val="18"/>
              </w:rPr>
              <w:t>Suggested Owner</w:t>
            </w:r>
          </w:p>
        </w:tc>
        <w:tc>
          <w:tcPr>
            <w:tcW w:type="dxa" w:w="2232"/>
            <w:vAlign w:val="center"/>
            <w:shd w:fill="D9E2F3"/>
          </w:tcPr>
          <w:p>
            <w:r/>
            <w:r>
              <w:rPr>
                <w:rFonts w:ascii="Aptos" w:hAnsi="Aptos"/>
                <w:b/>
                <w:sz w:val="18"/>
              </w:rPr>
              <w:t>Evidence of Completion</w:t>
            </w:r>
          </w:p>
        </w:tc>
      </w:tr>
      <w:tr>
        <w:tc>
          <w:tcPr>
            <w:tcW w:type="dxa" w:w="1800"/>
            <w:vAlign w:val="center"/>
          </w:tcPr>
          <w:p>
            <w:r/>
            <w:r>
              <w:rPr>
                <w:rFonts w:ascii="Aptos" w:hAnsi="Aptos"/>
                <w:b w:val="0"/>
                <w:sz w:val="18"/>
              </w:rPr>
              <w:t>Phase 1: 0–30 days</w:t>
            </w:r>
          </w:p>
        </w:tc>
        <w:tc>
          <w:tcPr>
            <w:tcW w:type="dxa" w:w="4464"/>
            <w:vAlign w:val="center"/>
          </w:tcPr>
          <w:p>
            <w:r/>
            <w:r>
              <w:rPr>
                <w:rFonts w:ascii="Aptos" w:hAnsi="Aptos"/>
                <w:b w:val="0"/>
                <w:sz w:val="18"/>
              </w:rPr>
              <w:t>Access inventory; privileged-account review; MFA for high-value accounts; incident reporting channel; critical asset identification.</w:t>
            </w:r>
          </w:p>
        </w:tc>
        <w:tc>
          <w:tcPr>
            <w:tcW w:type="dxa" w:w="1800"/>
            <w:vAlign w:val="center"/>
          </w:tcPr>
          <w:p>
            <w:r/>
            <w:r>
              <w:rPr>
                <w:rFonts w:ascii="Aptos" w:hAnsi="Aptos"/>
                <w:b w:val="0"/>
                <w:sz w:val="18"/>
              </w:rPr>
              <w:t>Security/IT Manager</w:t>
            </w:r>
          </w:p>
        </w:tc>
        <w:tc>
          <w:tcPr>
            <w:tcW w:type="dxa" w:w="2232"/>
            <w:vAlign w:val="center"/>
          </w:tcPr>
          <w:p>
            <w:r/>
            <w:r>
              <w:rPr>
                <w:rFonts w:ascii="Aptos" w:hAnsi="Aptos"/>
                <w:b w:val="0"/>
                <w:sz w:val="18"/>
              </w:rPr>
              <w:t>Access list, MFA report, asset register</w:t>
            </w:r>
          </w:p>
        </w:tc>
      </w:tr>
      <w:tr>
        <w:tc>
          <w:tcPr>
            <w:tcW w:type="dxa" w:w="1800"/>
            <w:vAlign w:val="center"/>
          </w:tcPr>
          <w:p>
            <w:r/>
            <w:r>
              <w:rPr>
                <w:rFonts w:ascii="Aptos" w:hAnsi="Aptos"/>
                <w:b w:val="0"/>
                <w:sz w:val="18"/>
              </w:rPr>
              <w:t>Phase 2: 31–60 days</w:t>
            </w:r>
          </w:p>
        </w:tc>
        <w:tc>
          <w:tcPr>
            <w:tcW w:type="dxa" w:w="4464"/>
            <w:vAlign w:val="center"/>
          </w:tcPr>
          <w:p>
            <w:r/>
            <w:r>
              <w:rPr>
                <w:rFonts w:ascii="Aptos" w:hAnsi="Aptos"/>
                <w:b w:val="0"/>
                <w:sz w:val="18"/>
              </w:rPr>
              <w:t>Patch SLAs; endpoint compliance; data classification; backup review; logging requirements.</w:t>
            </w:r>
          </w:p>
        </w:tc>
        <w:tc>
          <w:tcPr>
            <w:tcW w:type="dxa" w:w="1800"/>
            <w:vAlign w:val="center"/>
          </w:tcPr>
          <w:p>
            <w:r/>
            <w:r>
              <w:rPr>
                <w:rFonts w:ascii="Aptos" w:hAnsi="Aptos"/>
                <w:b w:val="0"/>
                <w:sz w:val="18"/>
              </w:rPr>
              <w:t>IT + Security</w:t>
            </w:r>
          </w:p>
        </w:tc>
        <w:tc>
          <w:tcPr>
            <w:tcW w:type="dxa" w:w="2232"/>
            <w:vAlign w:val="center"/>
          </w:tcPr>
          <w:p>
            <w:r/>
            <w:r>
              <w:rPr>
                <w:rFonts w:ascii="Aptos" w:hAnsi="Aptos"/>
                <w:b w:val="0"/>
                <w:sz w:val="18"/>
              </w:rPr>
              <w:t>Patch dashboard, classification guide, backup test evidence</w:t>
            </w:r>
          </w:p>
        </w:tc>
      </w:tr>
      <w:tr>
        <w:tc>
          <w:tcPr>
            <w:tcW w:type="dxa" w:w="1800"/>
            <w:vAlign w:val="center"/>
          </w:tcPr>
          <w:p>
            <w:r/>
            <w:r>
              <w:rPr>
                <w:rFonts w:ascii="Aptos" w:hAnsi="Aptos"/>
                <w:b w:val="0"/>
                <w:sz w:val="18"/>
              </w:rPr>
              <w:t>Phase 3: 61–90 days</w:t>
            </w:r>
          </w:p>
        </w:tc>
        <w:tc>
          <w:tcPr>
            <w:tcW w:type="dxa" w:w="4464"/>
            <w:vAlign w:val="center"/>
          </w:tcPr>
          <w:p>
            <w:r/>
            <w:r>
              <w:rPr>
                <w:rFonts w:ascii="Aptos" w:hAnsi="Aptos"/>
                <w:b w:val="0"/>
                <w:sz w:val="18"/>
              </w:rPr>
              <w:t>Centralized logging; alert rules; vendor risk process; security awareness training; policy exception register.</w:t>
            </w:r>
          </w:p>
        </w:tc>
        <w:tc>
          <w:tcPr>
            <w:tcW w:type="dxa" w:w="1800"/>
            <w:vAlign w:val="center"/>
          </w:tcPr>
          <w:p>
            <w:r/>
            <w:r>
              <w:rPr>
                <w:rFonts w:ascii="Aptos" w:hAnsi="Aptos"/>
                <w:b w:val="0"/>
                <w:sz w:val="18"/>
              </w:rPr>
              <w:t>Security + HR + Procurement</w:t>
            </w:r>
          </w:p>
        </w:tc>
        <w:tc>
          <w:tcPr>
            <w:tcW w:type="dxa" w:w="2232"/>
            <w:vAlign w:val="center"/>
          </w:tcPr>
          <w:p>
            <w:r/>
            <w:r>
              <w:rPr>
                <w:rFonts w:ascii="Aptos" w:hAnsi="Aptos"/>
                <w:b w:val="0"/>
                <w:sz w:val="18"/>
              </w:rPr>
              <w:t>Log coverage report, training records, vendor register</w:t>
            </w:r>
          </w:p>
        </w:tc>
      </w:tr>
      <w:tr>
        <w:tc>
          <w:tcPr>
            <w:tcW w:type="dxa" w:w="1800"/>
            <w:vAlign w:val="center"/>
          </w:tcPr>
          <w:p>
            <w:r/>
            <w:r>
              <w:rPr>
                <w:rFonts w:ascii="Aptos" w:hAnsi="Aptos"/>
                <w:b w:val="0"/>
                <w:sz w:val="18"/>
              </w:rPr>
              <w:t>Phase 4: 91–180 days</w:t>
            </w:r>
          </w:p>
        </w:tc>
        <w:tc>
          <w:tcPr>
            <w:tcW w:type="dxa" w:w="4464"/>
            <w:vAlign w:val="center"/>
          </w:tcPr>
          <w:p>
            <w:r/>
            <w:r>
              <w:rPr>
                <w:rFonts w:ascii="Aptos" w:hAnsi="Aptos"/>
                <w:b w:val="0"/>
                <w:sz w:val="18"/>
              </w:rPr>
              <w:t>Incident-response exercise; deeper vulnerability management; network segmentation review; recovery testing; management reporting.</w:t>
            </w:r>
          </w:p>
        </w:tc>
        <w:tc>
          <w:tcPr>
            <w:tcW w:type="dxa" w:w="1800"/>
            <w:vAlign w:val="center"/>
          </w:tcPr>
          <w:p>
            <w:r/>
            <w:r>
              <w:rPr>
                <w:rFonts w:ascii="Aptos" w:hAnsi="Aptos"/>
                <w:b w:val="0"/>
                <w:sz w:val="18"/>
              </w:rPr>
              <w:t>Security Leadership</w:t>
            </w:r>
          </w:p>
        </w:tc>
        <w:tc>
          <w:tcPr>
            <w:tcW w:type="dxa" w:w="2232"/>
            <w:vAlign w:val="center"/>
          </w:tcPr>
          <w:p>
            <w:r/>
            <w:r>
              <w:rPr>
                <w:rFonts w:ascii="Aptos" w:hAnsi="Aptos"/>
                <w:b w:val="0"/>
                <w:sz w:val="18"/>
              </w:rPr>
              <w:t>Exercise report, remediation tracker, recovery test results</w:t>
            </w:r>
          </w:p>
        </w:tc>
      </w:tr>
    </w:tbl>
    <w:p/>
    <w:p>
      <w:pPr>
        <w:pStyle w:val="Heading1"/>
      </w:pPr>
      <w:r>
        <w:t>10. Security Metrics and Evidence</w:t>
      </w:r>
    </w:p>
    <w:p>
      <w:r>
        <w:t>A policy becomes more effective when compliance can be measured. The following indicators can be used in monthly or quarterly security reporting.</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D9E2F3"/>
          </w:tcPr>
          <w:p>
            <w:r/>
            <w:r>
              <w:rPr>
                <w:rFonts w:ascii="Aptos" w:hAnsi="Aptos"/>
                <w:b/>
                <w:sz w:val="18"/>
              </w:rPr>
              <w:t>Metric</w:t>
            </w:r>
          </w:p>
        </w:tc>
        <w:tc>
          <w:tcPr>
            <w:tcW w:type="dxa" w:w="4608"/>
            <w:vAlign w:val="center"/>
            <w:shd w:fill="D9E2F3"/>
          </w:tcPr>
          <w:p>
            <w:r/>
            <w:r>
              <w:rPr>
                <w:rFonts w:ascii="Aptos" w:hAnsi="Aptos"/>
                <w:b/>
                <w:sz w:val="18"/>
              </w:rPr>
              <w:t>What It Measures</w:t>
            </w:r>
          </w:p>
        </w:tc>
        <w:tc>
          <w:tcPr>
            <w:tcW w:type="dxa" w:w="3456"/>
            <w:vAlign w:val="center"/>
            <w:shd w:fill="D9E2F3"/>
          </w:tcPr>
          <w:p>
            <w:r/>
            <w:r>
              <w:rPr>
                <w:rFonts w:ascii="Aptos" w:hAnsi="Aptos"/>
                <w:b/>
                <w:sz w:val="18"/>
              </w:rPr>
              <w:t>Example Target</w:t>
            </w:r>
          </w:p>
        </w:tc>
      </w:tr>
      <w:tr>
        <w:tc>
          <w:tcPr>
            <w:tcW w:type="dxa" w:w="2232"/>
            <w:vAlign w:val="center"/>
          </w:tcPr>
          <w:p>
            <w:r/>
            <w:r>
              <w:rPr>
                <w:rFonts w:ascii="Aptos" w:hAnsi="Aptos"/>
                <w:b w:val="0"/>
                <w:sz w:val="18"/>
              </w:rPr>
              <w:t>MFA coverage</w:t>
            </w:r>
          </w:p>
        </w:tc>
        <w:tc>
          <w:tcPr>
            <w:tcW w:type="dxa" w:w="4608"/>
            <w:vAlign w:val="center"/>
          </w:tcPr>
          <w:p>
            <w:r/>
            <w:r>
              <w:rPr>
                <w:rFonts w:ascii="Aptos" w:hAnsi="Aptos"/>
                <w:b w:val="0"/>
                <w:sz w:val="18"/>
              </w:rPr>
              <w:t>Percentage of required accounts protected by MFA</w:t>
            </w:r>
          </w:p>
        </w:tc>
        <w:tc>
          <w:tcPr>
            <w:tcW w:type="dxa" w:w="3456"/>
            <w:vAlign w:val="center"/>
          </w:tcPr>
          <w:p>
            <w:r/>
            <w:r>
              <w:rPr>
                <w:rFonts w:ascii="Aptos" w:hAnsi="Aptos"/>
                <w:b w:val="0"/>
                <w:sz w:val="18"/>
              </w:rPr>
              <w:t>Target: 100% of in-scope accounts</w:t>
            </w:r>
          </w:p>
        </w:tc>
      </w:tr>
      <w:tr>
        <w:tc>
          <w:tcPr>
            <w:tcW w:type="dxa" w:w="2232"/>
            <w:vAlign w:val="center"/>
          </w:tcPr>
          <w:p>
            <w:r/>
            <w:r>
              <w:rPr>
                <w:rFonts w:ascii="Aptos" w:hAnsi="Aptos"/>
                <w:b w:val="0"/>
                <w:sz w:val="18"/>
              </w:rPr>
              <w:t>Patch compliance</w:t>
            </w:r>
          </w:p>
        </w:tc>
        <w:tc>
          <w:tcPr>
            <w:tcW w:type="dxa" w:w="4608"/>
            <w:vAlign w:val="center"/>
          </w:tcPr>
          <w:p>
            <w:r/>
            <w:r>
              <w:rPr>
                <w:rFonts w:ascii="Aptos" w:hAnsi="Aptos"/>
                <w:b w:val="0"/>
                <w:sz w:val="18"/>
              </w:rPr>
              <w:t>Percentage of managed assets meeting defined patch deadlines</w:t>
            </w:r>
          </w:p>
        </w:tc>
        <w:tc>
          <w:tcPr>
            <w:tcW w:type="dxa" w:w="3456"/>
            <w:vAlign w:val="center"/>
          </w:tcPr>
          <w:p>
            <w:r/>
            <w:r>
              <w:rPr>
                <w:rFonts w:ascii="Aptos" w:hAnsi="Aptos"/>
                <w:b w:val="0"/>
                <w:sz w:val="18"/>
              </w:rPr>
              <w:t>Target: organization-defined SLA, with exceptions tracked</w:t>
            </w:r>
          </w:p>
        </w:tc>
      </w:tr>
      <w:tr>
        <w:tc>
          <w:tcPr>
            <w:tcW w:type="dxa" w:w="2232"/>
            <w:vAlign w:val="center"/>
          </w:tcPr>
          <w:p>
            <w:r/>
            <w:r>
              <w:rPr>
                <w:rFonts w:ascii="Aptos" w:hAnsi="Aptos"/>
                <w:b w:val="0"/>
                <w:sz w:val="18"/>
              </w:rPr>
              <w:t>Access review completion</w:t>
            </w:r>
          </w:p>
        </w:tc>
        <w:tc>
          <w:tcPr>
            <w:tcW w:type="dxa" w:w="4608"/>
            <w:vAlign w:val="center"/>
          </w:tcPr>
          <w:p>
            <w:r/>
            <w:r>
              <w:rPr>
                <w:rFonts w:ascii="Aptos" w:hAnsi="Aptos"/>
                <w:b w:val="0"/>
                <w:sz w:val="18"/>
              </w:rPr>
              <w:t>Percentage of scheduled reviews completed on time</w:t>
            </w:r>
          </w:p>
        </w:tc>
        <w:tc>
          <w:tcPr>
            <w:tcW w:type="dxa" w:w="3456"/>
            <w:vAlign w:val="center"/>
          </w:tcPr>
          <w:p>
            <w:r/>
            <w:r>
              <w:rPr>
                <w:rFonts w:ascii="Aptos" w:hAnsi="Aptos"/>
                <w:b w:val="0"/>
                <w:sz w:val="18"/>
              </w:rPr>
              <w:t>Target: 100%</w:t>
            </w:r>
          </w:p>
        </w:tc>
      </w:tr>
      <w:tr>
        <w:tc>
          <w:tcPr>
            <w:tcW w:type="dxa" w:w="2232"/>
            <w:vAlign w:val="center"/>
          </w:tcPr>
          <w:p>
            <w:r/>
            <w:r>
              <w:rPr>
                <w:rFonts w:ascii="Aptos" w:hAnsi="Aptos"/>
                <w:b w:val="0"/>
                <w:sz w:val="18"/>
              </w:rPr>
              <w:t>Incident response time</w:t>
            </w:r>
          </w:p>
        </w:tc>
        <w:tc>
          <w:tcPr>
            <w:tcW w:type="dxa" w:w="4608"/>
            <w:vAlign w:val="center"/>
          </w:tcPr>
          <w:p>
            <w:r/>
            <w:r>
              <w:rPr>
                <w:rFonts w:ascii="Aptos" w:hAnsi="Aptos"/>
                <w:b w:val="0"/>
                <w:sz w:val="18"/>
              </w:rPr>
              <w:t>Time from report to acknowledgement and triage</w:t>
            </w:r>
          </w:p>
        </w:tc>
        <w:tc>
          <w:tcPr>
            <w:tcW w:type="dxa" w:w="3456"/>
            <w:vAlign w:val="center"/>
          </w:tcPr>
          <w:p>
            <w:r/>
            <w:r>
              <w:rPr>
                <w:rFonts w:ascii="Aptos" w:hAnsi="Aptos"/>
                <w:b w:val="0"/>
                <w:sz w:val="18"/>
              </w:rPr>
              <w:t>Target: defined by severity</w:t>
            </w:r>
          </w:p>
        </w:tc>
      </w:tr>
      <w:tr>
        <w:tc>
          <w:tcPr>
            <w:tcW w:type="dxa" w:w="2232"/>
            <w:vAlign w:val="center"/>
          </w:tcPr>
          <w:p>
            <w:r/>
            <w:r>
              <w:rPr>
                <w:rFonts w:ascii="Aptos" w:hAnsi="Aptos"/>
                <w:b w:val="0"/>
                <w:sz w:val="18"/>
              </w:rPr>
              <w:t>Backup restore success</w:t>
            </w:r>
          </w:p>
        </w:tc>
        <w:tc>
          <w:tcPr>
            <w:tcW w:type="dxa" w:w="4608"/>
            <w:vAlign w:val="center"/>
          </w:tcPr>
          <w:p>
            <w:r/>
            <w:r>
              <w:rPr>
                <w:rFonts w:ascii="Aptos" w:hAnsi="Aptos"/>
                <w:b w:val="0"/>
                <w:sz w:val="18"/>
              </w:rPr>
              <w:t>Percentage of scheduled restore tests completed successfully</w:t>
            </w:r>
          </w:p>
        </w:tc>
        <w:tc>
          <w:tcPr>
            <w:tcW w:type="dxa" w:w="3456"/>
            <w:vAlign w:val="center"/>
          </w:tcPr>
          <w:p>
            <w:r/>
            <w:r>
              <w:rPr>
                <w:rFonts w:ascii="Aptos" w:hAnsi="Aptos"/>
                <w:b w:val="0"/>
                <w:sz w:val="18"/>
              </w:rPr>
              <w:t>Target: 100% of planned tests</w:t>
            </w:r>
          </w:p>
        </w:tc>
      </w:tr>
      <w:tr>
        <w:tc>
          <w:tcPr>
            <w:tcW w:type="dxa" w:w="2232"/>
            <w:vAlign w:val="center"/>
          </w:tcPr>
          <w:p>
            <w:r/>
            <w:r>
              <w:rPr>
                <w:rFonts w:ascii="Aptos" w:hAnsi="Aptos"/>
                <w:b w:val="0"/>
                <w:sz w:val="18"/>
              </w:rPr>
              <w:t>Security training</w:t>
            </w:r>
          </w:p>
        </w:tc>
        <w:tc>
          <w:tcPr>
            <w:tcW w:type="dxa" w:w="4608"/>
            <w:vAlign w:val="center"/>
          </w:tcPr>
          <w:p>
            <w:r/>
            <w:r>
              <w:rPr>
                <w:rFonts w:ascii="Aptos" w:hAnsi="Aptos"/>
                <w:b w:val="0"/>
                <w:sz w:val="18"/>
              </w:rPr>
              <w:t>Percentage of personnel completing required training</w:t>
            </w:r>
          </w:p>
        </w:tc>
        <w:tc>
          <w:tcPr>
            <w:tcW w:type="dxa" w:w="3456"/>
            <w:vAlign w:val="center"/>
          </w:tcPr>
          <w:p>
            <w:r/>
            <w:r>
              <w:rPr>
                <w:rFonts w:ascii="Aptos" w:hAnsi="Aptos"/>
                <w:b w:val="0"/>
                <w:sz w:val="18"/>
              </w:rPr>
              <w:t>Target: 100% annually</w:t>
            </w:r>
          </w:p>
        </w:tc>
      </w:tr>
      <w:tr>
        <w:tc>
          <w:tcPr>
            <w:tcW w:type="dxa" w:w="2232"/>
            <w:vAlign w:val="center"/>
          </w:tcPr>
          <w:p>
            <w:r/>
            <w:r>
              <w:rPr>
                <w:rFonts w:ascii="Aptos" w:hAnsi="Aptos"/>
                <w:b w:val="0"/>
                <w:sz w:val="18"/>
              </w:rPr>
              <w:t>Critical logging coverage</w:t>
            </w:r>
          </w:p>
        </w:tc>
        <w:tc>
          <w:tcPr>
            <w:tcW w:type="dxa" w:w="4608"/>
            <w:vAlign w:val="center"/>
          </w:tcPr>
          <w:p>
            <w:r/>
            <w:r>
              <w:rPr>
                <w:rFonts w:ascii="Aptos" w:hAnsi="Aptos"/>
                <w:b w:val="0"/>
                <w:sz w:val="18"/>
              </w:rPr>
              <w:t>Percentage of defined critical sources sending usable logs</w:t>
            </w:r>
          </w:p>
        </w:tc>
        <w:tc>
          <w:tcPr>
            <w:tcW w:type="dxa" w:w="3456"/>
            <w:vAlign w:val="center"/>
          </w:tcPr>
          <w:p>
            <w:r/>
            <w:r>
              <w:rPr>
                <w:rFonts w:ascii="Aptos" w:hAnsi="Aptos"/>
                <w:b w:val="0"/>
                <w:sz w:val="18"/>
              </w:rPr>
              <w:t>Target: organization-defined coverage threshold</w:t>
            </w:r>
          </w:p>
        </w:tc>
      </w:tr>
    </w:tbl>
    <w:p/>
    <w:p>
      <w:pPr>
        <w:pStyle w:val="Heading1"/>
      </w:pPr>
      <w:r>
        <w:t>11. Policy Governance and Review Cycle</w:t>
      </w:r>
    </w:p>
    <w:p>
      <w:pPr>
        <w:pStyle w:val="ListBullet"/>
        <w:spacing w:after="60"/>
      </w:pPr>
      <w:r>
        <w:t>Assign a policy owner responsible for maintaining the document and coordinating reviews.</w:t>
      </w:r>
    </w:p>
    <w:p>
      <w:pPr>
        <w:pStyle w:val="ListBullet"/>
        <w:spacing w:after="60"/>
      </w:pPr>
      <w:r>
        <w:t>Review the policy at least annually and after major technology, regulatory or organizational changes.</w:t>
      </w:r>
    </w:p>
    <w:p>
      <w:pPr>
        <w:pStyle w:val="ListBullet"/>
        <w:spacing w:after="60"/>
      </w:pPr>
      <w:r>
        <w:t>Record policy versions, approval date, effective date and next review date.</w:t>
      </w:r>
    </w:p>
    <w:p>
      <w:pPr>
        <w:pStyle w:val="ListBullet"/>
        <w:spacing w:after="60"/>
      </w:pPr>
      <w:r>
        <w:t>Maintain an exception register with business justification, risk owner, compensating controls and expiry.</w:t>
      </w:r>
    </w:p>
    <w:p>
      <w:pPr>
        <w:pStyle w:val="ListBullet"/>
        <w:spacing w:after="60"/>
      </w:pPr>
      <w:r>
        <w:t>Communicate major policy changes to affected employees and contractors.</w:t>
      </w:r>
    </w:p>
    <w:p>
      <w:pPr>
        <w:pStyle w:val="ListBullet"/>
        <w:spacing w:after="60"/>
      </w:pPr>
      <w:r>
        <w:t>Keep evidence of training, access reviews, technical compliance reports and incident exercises.</w:t>
      </w:r>
    </w:p>
    <w:p>
      <w:pPr>
        <w:pStyle w:val="Heading1"/>
      </w:pPr>
      <w:r>
        <w:t>12. Awareness and Human-Factor Improvements</w:t>
      </w:r>
    </w:p>
    <w:p>
      <w:r>
        <w:t>Many policy failures occur because employees are uncertain about what to do rather than because they intentionally ignore security. The revised policy should therefore be accompanied by simple operational guidance.</w:t>
      </w:r>
    </w:p>
    <w:p>
      <w:pPr>
        <w:pStyle w:val="ListBullet"/>
        <w:spacing w:after="60"/>
      </w:pPr>
      <w:r>
        <w:t>Short onboarding security training for every new employee.</w:t>
      </w:r>
    </w:p>
    <w:p>
      <w:pPr>
        <w:pStyle w:val="ListBullet"/>
        <w:spacing w:after="60"/>
      </w:pPr>
      <w:r>
        <w:t>Annual refresher training for all staff.</w:t>
      </w:r>
    </w:p>
    <w:p>
      <w:pPr>
        <w:pStyle w:val="ListBullet"/>
        <w:spacing w:after="60"/>
      </w:pPr>
      <w:r>
        <w:t>Role-specific training for administrators, developers, finance and other high-risk roles.</w:t>
      </w:r>
    </w:p>
    <w:p>
      <w:pPr>
        <w:pStyle w:val="ListBullet"/>
        <w:spacing w:after="60"/>
      </w:pPr>
      <w:r>
        <w:t>Simple reporting instructions for phishing, lost devices and suspected compromise.</w:t>
      </w:r>
    </w:p>
    <w:p>
      <w:pPr>
        <w:pStyle w:val="ListBullet"/>
        <w:spacing w:after="60"/>
      </w:pPr>
      <w:r>
        <w:t>Periodic awareness exercises followed by feedback rather than punishment-focused messaging.</w:t>
      </w:r>
    </w:p>
    <w:p>
      <w:pPr>
        <w:pStyle w:val="ListBullet"/>
        <w:spacing w:after="60"/>
      </w:pPr>
      <w:r>
        <w:t>Clear examples of approved and prohibited data-sharing methods.</w:t>
      </w:r>
    </w:p>
    <w:p>
      <w:r>
        <w:br w:type="page"/>
      </w:r>
    </w:p>
    <w:p>
      <w:pPr>
        <w:pStyle w:val="Heading1"/>
      </w:pPr>
      <w:r>
        <w:t>13. Proposed Security Policy Structure</w:t>
      </w:r>
    </w:p>
    <w:p>
      <w:r>
        <w:t>The following structure can be used to rewrite the organization's policy into a maintainable document.</w:t>
      </w:r>
    </w:p>
    <w:p>
      <w:pPr>
        <w:pStyle w:val="ListNumber"/>
        <w:spacing w:after="60"/>
      </w:pPr>
      <w:r>
        <w:t>Purpose and objectives</w:t>
      </w:r>
    </w:p>
    <w:p>
      <w:pPr>
        <w:pStyle w:val="ListNumber"/>
        <w:spacing w:after="60"/>
      </w:pPr>
      <w:r>
        <w:t>Scope and applicability</w:t>
      </w:r>
    </w:p>
    <w:p>
      <w:pPr>
        <w:pStyle w:val="ListNumber"/>
        <w:spacing w:after="60"/>
      </w:pPr>
      <w:r>
        <w:t>Roles and responsibilities</w:t>
      </w:r>
    </w:p>
    <w:p>
      <w:pPr>
        <w:pStyle w:val="ListNumber"/>
        <w:spacing w:after="60"/>
      </w:pPr>
      <w:r>
        <w:t>Asset management</w:t>
      </w:r>
    </w:p>
    <w:p>
      <w:pPr>
        <w:pStyle w:val="ListNumber"/>
        <w:spacing w:after="60"/>
      </w:pPr>
      <w:r>
        <w:t>Identity and access management</w:t>
      </w:r>
    </w:p>
    <w:p>
      <w:pPr>
        <w:pStyle w:val="ListNumber"/>
        <w:spacing w:after="60"/>
      </w:pPr>
      <w:r>
        <w:t>Authentication and password requirements</w:t>
      </w:r>
    </w:p>
    <w:p>
      <w:pPr>
        <w:pStyle w:val="ListNumber"/>
        <w:spacing w:after="60"/>
      </w:pPr>
      <w:r>
        <w:t>Endpoint and mobile security</w:t>
      </w:r>
    </w:p>
    <w:p>
      <w:pPr>
        <w:pStyle w:val="ListNumber"/>
        <w:spacing w:after="60"/>
      </w:pPr>
      <w:r>
        <w:t>Network and remote access</w:t>
      </w:r>
    </w:p>
    <w:p>
      <w:pPr>
        <w:pStyle w:val="ListNumber"/>
        <w:spacing w:after="60"/>
      </w:pPr>
      <w:r>
        <w:t>Data classification and handling</w:t>
      </w:r>
    </w:p>
    <w:p>
      <w:pPr>
        <w:pStyle w:val="ListNumber"/>
        <w:spacing w:after="60"/>
      </w:pPr>
      <w:r>
        <w:t>Vulnerability and patch management</w:t>
      </w:r>
    </w:p>
    <w:p>
      <w:pPr>
        <w:pStyle w:val="ListNumber"/>
        <w:spacing w:after="60"/>
      </w:pPr>
      <w:r>
        <w:t>Logging and monitoring</w:t>
      </w:r>
    </w:p>
    <w:p>
      <w:pPr>
        <w:pStyle w:val="ListNumber"/>
        <w:spacing w:after="60"/>
      </w:pPr>
      <w:r>
        <w:t>Incident response</w:t>
      </w:r>
    </w:p>
    <w:p>
      <w:pPr>
        <w:pStyle w:val="ListNumber"/>
        <w:spacing w:after="60"/>
      </w:pPr>
      <w:r>
        <w:t>Backup and recovery</w:t>
      </w:r>
    </w:p>
    <w:p>
      <w:pPr>
        <w:pStyle w:val="ListNumber"/>
        <w:spacing w:after="60"/>
      </w:pPr>
      <w:r>
        <w:t>Third-party security</w:t>
      </w:r>
    </w:p>
    <w:p>
      <w:pPr>
        <w:pStyle w:val="ListNumber"/>
        <w:spacing w:after="60"/>
      </w:pPr>
      <w:r>
        <w:t>Security awareness</w:t>
      </w:r>
    </w:p>
    <w:p>
      <w:pPr>
        <w:pStyle w:val="ListNumber"/>
        <w:spacing w:after="60"/>
      </w:pPr>
      <w:r>
        <w:t>Acceptable use</w:t>
      </w:r>
    </w:p>
    <w:p>
      <w:pPr>
        <w:pStyle w:val="ListNumber"/>
        <w:spacing w:after="60"/>
      </w:pPr>
      <w:r>
        <w:t>Exceptions and risk acceptance</w:t>
      </w:r>
    </w:p>
    <w:p>
      <w:pPr>
        <w:pStyle w:val="ListNumber"/>
        <w:spacing w:after="60"/>
      </w:pPr>
      <w:r>
        <w:t>Compliance and enforcement</w:t>
      </w:r>
    </w:p>
    <w:p>
      <w:pPr>
        <w:pStyle w:val="ListNumber"/>
        <w:spacing w:after="60"/>
      </w:pPr>
      <w:r>
        <w:t>Policy review and version control</w:t>
      </w:r>
    </w:p>
    <w:p>
      <w:pPr>
        <w:pStyle w:val="Heading1"/>
      </w:pPr>
      <w:r>
        <w:t>14. Sample Incident Reporting Procedure</w:t>
      </w:r>
    </w:p>
    <w:p>
      <w:pPr>
        <w:pStyle w:val="ListNumber"/>
        <w:spacing w:after="60"/>
      </w:pPr>
      <w:r>
        <w:t>Employee identifies a suspected security event, such as phishing, malware, lost device or suspicious login.</w:t>
      </w:r>
    </w:p>
    <w:p>
      <w:pPr>
        <w:pStyle w:val="ListNumber"/>
        <w:spacing w:after="60"/>
      </w:pPr>
      <w:r>
        <w:t>Employee reports the event using the approved security reporting channel.</w:t>
      </w:r>
    </w:p>
    <w:p>
      <w:pPr>
        <w:pStyle w:val="ListNumber"/>
        <w:spacing w:after="60"/>
      </w:pPr>
      <w:r>
        <w:t>IT/security acknowledges the report and records the initial facts.</w:t>
      </w:r>
    </w:p>
    <w:p>
      <w:pPr>
        <w:pStyle w:val="ListNumber"/>
        <w:spacing w:after="60"/>
      </w:pPr>
      <w:r>
        <w:t>The incident is assigned a severity level based on affected assets, data sensitivity and business impact.</w:t>
      </w:r>
    </w:p>
    <w:p>
      <w:pPr>
        <w:pStyle w:val="ListNumber"/>
        <w:spacing w:after="60"/>
      </w:pPr>
      <w:r>
        <w:t>The response team contains the threat and preserves relevant evidence.</w:t>
      </w:r>
    </w:p>
    <w:p>
      <w:pPr>
        <w:pStyle w:val="ListNumber"/>
        <w:spacing w:after="60"/>
      </w:pPr>
      <w:r>
        <w:t>Systems are recovered using approved procedures.</w:t>
      </w:r>
    </w:p>
    <w:p>
      <w:pPr>
        <w:pStyle w:val="ListNumber"/>
        <w:spacing w:after="60"/>
      </w:pPr>
      <w:r>
        <w:t>The incident is documented, including timeline, actions and lessons learned.</w:t>
      </w:r>
    </w:p>
    <w:p>
      <w:pPr>
        <w:pStyle w:val="ListNumber"/>
        <w:spacing w:after="60"/>
      </w:pPr>
      <w:r>
        <w:t>Corrective actions are assigned owners and tracked to closure.</w:t>
      </w:r>
    </w:p>
    <w:p>
      <w:pPr>
        <w:pStyle w:val="Heading1"/>
      </w:pPr>
      <w:r>
        <w:t>15. Policy Exception Procedure</w:t>
      </w:r>
    </w:p>
    <w:p>
      <w:pPr>
        <w:pStyle w:val="ListBullet"/>
        <w:spacing w:after="60"/>
      </w:pPr>
      <w:r>
        <w:t>Requester documents why the requirement cannot currently be met.</w:t>
      </w:r>
    </w:p>
    <w:p>
      <w:pPr>
        <w:pStyle w:val="ListBullet"/>
        <w:spacing w:after="60"/>
      </w:pPr>
      <w:r>
        <w:t>Security or the designated risk owner assesses the risk.</w:t>
      </w:r>
    </w:p>
    <w:p>
      <w:pPr>
        <w:pStyle w:val="ListBullet"/>
        <w:spacing w:after="60"/>
      </w:pPr>
      <w:r>
        <w:t>Compensating controls are identified where practical.</w:t>
      </w:r>
    </w:p>
    <w:p>
      <w:pPr>
        <w:pStyle w:val="ListBullet"/>
        <w:spacing w:after="60"/>
      </w:pPr>
      <w:r>
        <w:t>An authorized person approves or rejects the exception.</w:t>
      </w:r>
    </w:p>
    <w:p>
      <w:pPr>
        <w:pStyle w:val="ListBullet"/>
        <w:spacing w:after="60"/>
      </w:pPr>
      <w:r>
        <w:t>Every exception receives an expiry/review date.</w:t>
      </w:r>
    </w:p>
    <w:p>
      <w:pPr>
        <w:pStyle w:val="ListBullet"/>
        <w:spacing w:after="60"/>
      </w:pPr>
      <w:r>
        <w:t>Expired exceptions are closed, renewed through reassessment or replaced by a permanent control.</w:t>
      </w:r>
    </w:p>
    <w:p>
      <w:pPr>
        <w:pStyle w:val="Heading1"/>
      </w:pPr>
      <w:r>
        <w:t>16. 30–35 Hour Task Work Plan</w:t>
      </w:r>
    </w:p>
    <w:p>
      <w:r>
        <w:t>The internship brief states that the task should take 30–35 hours. The following is a proposed activity plan showing how a detailed policy review can reasonably be organized. It is a work-plan estimate, not a claim that the document itself records actual hours spent.</w:t>
      </w:r>
    </w:p>
    <w:tbl>
      <w:tblPr>
        <w:tblStyle w:val="TableGrid"/>
        <w:tblW w:type="auto" w:w="0"/>
        <w:jc w:val="center"/>
        <w:tblLook w:firstColumn="1" w:firstRow="1" w:lastColumn="0" w:lastRow="0" w:noHBand="0" w:noVBand="1" w:val="04A0"/>
      </w:tblPr>
      <w:tblGrid>
        <w:gridCol w:w="4968"/>
        <w:gridCol w:w="4968"/>
      </w:tblGrid>
      <w:tr>
        <w:tc>
          <w:tcPr>
            <w:tcW w:type="dxa" w:w="7920"/>
            <w:vAlign w:val="center"/>
            <w:shd w:fill="D9E2F3"/>
          </w:tcPr>
          <w:p>
            <w:r/>
            <w:r>
              <w:rPr>
                <w:rFonts w:ascii="Aptos" w:hAnsi="Aptos"/>
                <w:b/>
                <w:sz w:val="18"/>
              </w:rPr>
              <w:t>Activity</w:t>
            </w:r>
          </w:p>
        </w:tc>
        <w:tc>
          <w:tcPr>
            <w:tcW w:type="dxa" w:w="2448"/>
            <w:vAlign w:val="center"/>
            <w:shd w:fill="D9E2F3"/>
          </w:tcPr>
          <w:p>
            <w:r/>
            <w:r>
              <w:rPr>
                <w:rFonts w:ascii="Aptos" w:hAnsi="Aptos"/>
                <w:b/>
                <w:sz w:val="18"/>
              </w:rPr>
              <w:t>Estimated Effort</w:t>
            </w:r>
          </w:p>
        </w:tc>
      </w:tr>
      <w:tr>
        <w:tc>
          <w:tcPr>
            <w:tcW w:type="dxa" w:w="7920"/>
            <w:vAlign w:val="center"/>
          </w:tcPr>
          <w:p>
            <w:r/>
            <w:r>
              <w:rPr>
                <w:rFonts w:ascii="Aptos" w:hAnsi="Aptos"/>
                <w:b w:val="0"/>
                <w:sz w:val="18"/>
              </w:rPr>
              <w:t>Policy understanding and scope definition</w:t>
            </w:r>
          </w:p>
        </w:tc>
        <w:tc>
          <w:tcPr>
            <w:tcW w:type="dxa" w:w="2448"/>
            <w:vAlign w:val="center"/>
          </w:tcPr>
          <w:p>
            <w:r/>
            <w:r>
              <w:rPr>
                <w:rFonts w:ascii="Aptos" w:hAnsi="Aptos"/>
                <w:b w:val="0"/>
                <w:sz w:val="18"/>
              </w:rPr>
              <w:t>3 hours</w:t>
            </w:r>
          </w:p>
        </w:tc>
      </w:tr>
      <w:tr>
        <w:tc>
          <w:tcPr>
            <w:tcW w:type="dxa" w:w="7920"/>
            <w:vAlign w:val="center"/>
          </w:tcPr>
          <w:p>
            <w:r/>
            <w:r>
              <w:rPr>
                <w:rFonts w:ascii="Aptos" w:hAnsi="Aptos"/>
                <w:b w:val="0"/>
                <w:sz w:val="18"/>
              </w:rPr>
              <w:t>Asset, access and authentication review</w:t>
            </w:r>
          </w:p>
        </w:tc>
        <w:tc>
          <w:tcPr>
            <w:tcW w:type="dxa" w:w="2448"/>
            <w:vAlign w:val="center"/>
          </w:tcPr>
          <w:p>
            <w:r/>
            <w:r>
              <w:rPr>
                <w:rFonts w:ascii="Aptos" w:hAnsi="Aptos"/>
                <w:b w:val="0"/>
                <w:sz w:val="18"/>
              </w:rPr>
              <w:t>4 hours</w:t>
            </w:r>
          </w:p>
        </w:tc>
      </w:tr>
      <w:tr>
        <w:tc>
          <w:tcPr>
            <w:tcW w:type="dxa" w:w="7920"/>
            <w:vAlign w:val="center"/>
          </w:tcPr>
          <w:p>
            <w:r/>
            <w:r>
              <w:rPr>
                <w:rFonts w:ascii="Aptos" w:hAnsi="Aptos"/>
                <w:b w:val="0"/>
                <w:sz w:val="18"/>
              </w:rPr>
              <w:t>Endpoint, network and remote-access review</w:t>
            </w:r>
          </w:p>
        </w:tc>
        <w:tc>
          <w:tcPr>
            <w:tcW w:type="dxa" w:w="2448"/>
            <w:vAlign w:val="center"/>
          </w:tcPr>
          <w:p>
            <w:r/>
            <w:r>
              <w:rPr>
                <w:rFonts w:ascii="Aptos" w:hAnsi="Aptos"/>
                <w:b w:val="0"/>
                <w:sz w:val="18"/>
              </w:rPr>
              <w:t>4 hours</w:t>
            </w:r>
          </w:p>
        </w:tc>
      </w:tr>
      <w:tr>
        <w:tc>
          <w:tcPr>
            <w:tcW w:type="dxa" w:w="7920"/>
            <w:vAlign w:val="center"/>
          </w:tcPr>
          <w:p>
            <w:r/>
            <w:r>
              <w:rPr>
                <w:rFonts w:ascii="Aptos" w:hAnsi="Aptos"/>
                <w:b w:val="0"/>
                <w:sz w:val="18"/>
              </w:rPr>
              <w:t>Data protection and privacy-control review</w:t>
            </w:r>
          </w:p>
        </w:tc>
        <w:tc>
          <w:tcPr>
            <w:tcW w:type="dxa" w:w="2448"/>
            <w:vAlign w:val="center"/>
          </w:tcPr>
          <w:p>
            <w:r/>
            <w:r>
              <w:rPr>
                <w:rFonts w:ascii="Aptos" w:hAnsi="Aptos"/>
                <w:b w:val="0"/>
                <w:sz w:val="18"/>
              </w:rPr>
              <w:t>4 hours</w:t>
            </w:r>
          </w:p>
        </w:tc>
      </w:tr>
      <w:tr>
        <w:tc>
          <w:tcPr>
            <w:tcW w:type="dxa" w:w="7920"/>
            <w:vAlign w:val="center"/>
          </w:tcPr>
          <w:p>
            <w:r/>
            <w:r>
              <w:rPr>
                <w:rFonts w:ascii="Aptos" w:hAnsi="Aptos"/>
                <w:b w:val="0"/>
                <w:sz w:val="18"/>
              </w:rPr>
              <w:t>Patch, vulnerability, logging and monitoring review</w:t>
            </w:r>
          </w:p>
        </w:tc>
        <w:tc>
          <w:tcPr>
            <w:tcW w:type="dxa" w:w="2448"/>
            <w:vAlign w:val="center"/>
          </w:tcPr>
          <w:p>
            <w:r/>
            <w:r>
              <w:rPr>
                <w:rFonts w:ascii="Aptos" w:hAnsi="Aptos"/>
                <w:b w:val="0"/>
                <w:sz w:val="18"/>
              </w:rPr>
              <w:t>4 hours</w:t>
            </w:r>
          </w:p>
        </w:tc>
      </w:tr>
      <w:tr>
        <w:tc>
          <w:tcPr>
            <w:tcW w:type="dxa" w:w="7920"/>
            <w:vAlign w:val="center"/>
          </w:tcPr>
          <w:p>
            <w:r/>
            <w:r>
              <w:rPr>
                <w:rFonts w:ascii="Aptos" w:hAnsi="Aptos"/>
                <w:b w:val="0"/>
                <w:sz w:val="18"/>
              </w:rPr>
              <w:t>Incident response, backup and recovery review</w:t>
            </w:r>
          </w:p>
        </w:tc>
        <w:tc>
          <w:tcPr>
            <w:tcW w:type="dxa" w:w="2448"/>
            <w:vAlign w:val="center"/>
          </w:tcPr>
          <w:p>
            <w:r/>
            <w:r>
              <w:rPr>
                <w:rFonts w:ascii="Aptos" w:hAnsi="Aptos"/>
                <w:b w:val="0"/>
                <w:sz w:val="18"/>
              </w:rPr>
              <w:t>3 hours</w:t>
            </w:r>
          </w:p>
        </w:tc>
      </w:tr>
      <w:tr>
        <w:tc>
          <w:tcPr>
            <w:tcW w:type="dxa" w:w="7920"/>
            <w:vAlign w:val="center"/>
          </w:tcPr>
          <w:p>
            <w:r/>
            <w:r>
              <w:rPr>
                <w:rFonts w:ascii="Aptos" w:hAnsi="Aptos"/>
                <w:b w:val="0"/>
                <w:sz w:val="18"/>
              </w:rPr>
              <w:t>Third-party, awareness and governance review</w:t>
            </w:r>
          </w:p>
        </w:tc>
        <w:tc>
          <w:tcPr>
            <w:tcW w:type="dxa" w:w="2448"/>
            <w:vAlign w:val="center"/>
          </w:tcPr>
          <w:p>
            <w:r/>
            <w:r>
              <w:rPr>
                <w:rFonts w:ascii="Aptos" w:hAnsi="Aptos"/>
                <w:b w:val="0"/>
                <w:sz w:val="18"/>
              </w:rPr>
              <w:t>3 hours</w:t>
            </w:r>
          </w:p>
        </w:tc>
      </w:tr>
      <w:tr>
        <w:tc>
          <w:tcPr>
            <w:tcW w:type="dxa" w:w="7920"/>
            <w:vAlign w:val="center"/>
          </w:tcPr>
          <w:p>
            <w:r/>
            <w:r>
              <w:rPr>
                <w:rFonts w:ascii="Aptos" w:hAnsi="Aptos"/>
                <w:b w:val="0"/>
                <w:sz w:val="18"/>
              </w:rPr>
              <w:t>Risk register and prioritization</w:t>
            </w:r>
          </w:p>
        </w:tc>
        <w:tc>
          <w:tcPr>
            <w:tcW w:type="dxa" w:w="2448"/>
            <w:vAlign w:val="center"/>
          </w:tcPr>
          <w:p>
            <w:r/>
            <w:r>
              <w:rPr>
                <w:rFonts w:ascii="Aptos" w:hAnsi="Aptos"/>
                <w:b w:val="0"/>
                <w:sz w:val="18"/>
              </w:rPr>
              <w:t>3 hours</w:t>
            </w:r>
          </w:p>
        </w:tc>
      </w:tr>
      <w:tr>
        <w:tc>
          <w:tcPr>
            <w:tcW w:type="dxa" w:w="7920"/>
            <w:vAlign w:val="center"/>
          </w:tcPr>
          <w:p>
            <w:r/>
            <w:r>
              <w:rPr>
                <w:rFonts w:ascii="Aptos" w:hAnsi="Aptos"/>
                <w:b w:val="0"/>
                <w:sz w:val="18"/>
              </w:rPr>
              <w:t>Recommendations and implementation roadmap</w:t>
            </w:r>
          </w:p>
        </w:tc>
        <w:tc>
          <w:tcPr>
            <w:tcW w:type="dxa" w:w="2448"/>
            <w:vAlign w:val="center"/>
          </w:tcPr>
          <w:p>
            <w:r/>
            <w:r>
              <w:rPr>
                <w:rFonts w:ascii="Aptos" w:hAnsi="Aptos"/>
                <w:b w:val="0"/>
                <w:sz w:val="18"/>
              </w:rPr>
              <w:t>3 hours</w:t>
            </w:r>
          </w:p>
        </w:tc>
      </w:tr>
      <w:tr>
        <w:tc>
          <w:tcPr>
            <w:tcW w:type="dxa" w:w="7920"/>
            <w:vAlign w:val="center"/>
          </w:tcPr>
          <w:p>
            <w:r/>
            <w:r>
              <w:rPr>
                <w:rFonts w:ascii="Aptos" w:hAnsi="Aptos"/>
                <w:b w:val="0"/>
                <w:sz w:val="18"/>
              </w:rPr>
              <w:t>Report drafting, formatting and quality review</w:t>
            </w:r>
          </w:p>
        </w:tc>
        <w:tc>
          <w:tcPr>
            <w:tcW w:type="dxa" w:w="2448"/>
            <w:vAlign w:val="center"/>
          </w:tcPr>
          <w:p>
            <w:r/>
            <w:r>
              <w:rPr>
                <w:rFonts w:ascii="Aptos" w:hAnsi="Aptos"/>
                <w:b w:val="0"/>
                <w:sz w:val="18"/>
              </w:rPr>
              <w:t>2 hours</w:t>
            </w:r>
          </w:p>
        </w:tc>
      </w:tr>
    </w:tbl>
    <w:p/>
    <w:p>
      <w:pPr>
        <w:pStyle w:val="Heading1"/>
      </w:pPr>
      <w:r>
        <w:t>17. Final Assessment Summary</w:t>
      </w:r>
    </w:p>
    <w:p>
      <w:r>
        <w:t>The hypothetical baseline policy establishes useful security intentions, but many statements are not sufficiently specific to be consistently implemented or audited. The most important improvement is to connect each principle with an accountable owner, a measurable requirement and evidence of compliance.</w:t>
      </w:r>
    </w:p>
    <w:p>
      <w:r>
        <w:t>The review recommends prioritizing identity security, MFA, asset visibility, patch management, incident response, data handling, logging and recovery capabilities. The organization should then strengthen governance through recurring access reviews, vendor assessments, security training, exception management and management reporting.</w:t>
      </w:r>
    </w:p>
    <w:p>
      <w:r>
        <w:t>A successful policy review should not end with publication of a document. The policy should be supported by technical controls, employee awareness, periodic testing and a continuous improvement cycle. This approach makes the policy more practical and helps the organization demonstrate that its stated security requirements are actually being followed.</w:t>
      </w:r>
    </w:p>
    <w:p>
      <w:pPr>
        <w:pStyle w:val="Heading1"/>
      </w:pPr>
      <w:r>
        <w:t>18. Conclusion</w:t>
      </w:r>
    </w:p>
    <w:p>
      <w:r>
        <w:t>This Week 3 Security Policy Review fulfills the task objective by examining a hypothetical organization's security policy, identifying weaknesses and proposing concrete improvements. The report provides a structured critique, risk register, revised policy statements, implementation roadmap, metrics and governance recommendations. The proposed changes are designed to turn broad security expectations into clear, testable and maintainable controls.</w:t>
      </w:r>
    </w:p>
    <w:p>
      <w:pPr>
        <w:pStyle w:val="Heading1"/>
      </w:pPr>
      <w:r>
        <w:t>Appendix A — Review Checklist</w:t>
      </w:r>
    </w:p>
    <w:p>
      <w:pPr>
        <w:pStyle w:val="ListBullet"/>
        <w:spacing w:after="60"/>
      </w:pPr>
      <w:r>
        <w:t>Is every critical asset assigned an owner?</w:t>
      </w:r>
    </w:p>
    <w:p>
      <w:pPr>
        <w:pStyle w:val="ListBullet"/>
        <w:spacing w:after="60"/>
      </w:pPr>
      <w:r>
        <w:t>Are privileged accounts separately controlled and reviewed?</w:t>
      </w:r>
    </w:p>
    <w:p>
      <w:pPr>
        <w:pStyle w:val="ListBullet"/>
        <w:spacing w:after="60"/>
      </w:pPr>
      <w:r>
        <w:t>Is MFA enabled for high-risk access?</w:t>
      </w:r>
    </w:p>
    <w:p>
      <w:pPr>
        <w:pStyle w:val="ListBullet"/>
        <w:spacing w:after="60"/>
      </w:pPr>
      <w:r>
        <w:t>Are access approvals and removals documented?</w:t>
      </w:r>
    </w:p>
    <w:p>
      <w:pPr>
        <w:pStyle w:val="ListBullet"/>
        <w:spacing w:after="60"/>
      </w:pPr>
      <w:r>
        <w:t>Are patch deadlines defined and monitored?</w:t>
      </w:r>
    </w:p>
    <w:p>
      <w:pPr>
        <w:pStyle w:val="ListBullet"/>
        <w:spacing w:after="60"/>
      </w:pPr>
      <w:r>
        <w:t>Is sensitive data classified and handled consistently?</w:t>
      </w:r>
    </w:p>
    <w:p>
      <w:pPr>
        <w:pStyle w:val="ListBullet"/>
        <w:spacing w:after="60"/>
      </w:pPr>
      <w:r>
        <w:t>Are security logs protected and reviewed?</w:t>
      </w:r>
    </w:p>
    <w:p>
      <w:pPr>
        <w:pStyle w:val="ListBullet"/>
        <w:spacing w:after="60"/>
      </w:pPr>
      <w:r>
        <w:t>Is there a documented incident-response process?</w:t>
      </w:r>
    </w:p>
    <w:p>
      <w:pPr>
        <w:pStyle w:val="ListBullet"/>
        <w:spacing w:after="60"/>
      </w:pPr>
      <w:r>
        <w:t>Are backups protected and restoration-tested?</w:t>
      </w:r>
    </w:p>
    <w:p>
      <w:pPr>
        <w:pStyle w:val="ListBullet"/>
        <w:spacing w:after="60"/>
      </w:pPr>
      <w:r>
        <w:t>Are vendors assessed according to risk?</w:t>
      </w:r>
    </w:p>
    <w:p>
      <w:pPr>
        <w:pStyle w:val="ListBullet"/>
        <w:spacing w:after="60"/>
      </w:pPr>
      <w:r>
        <w:t>Is security awareness training recurring?</w:t>
      </w:r>
    </w:p>
    <w:p>
      <w:pPr>
        <w:pStyle w:val="ListBullet"/>
        <w:spacing w:after="60"/>
      </w:pPr>
      <w:r>
        <w:t>Are policy exceptions documented and time-limited?</w:t>
      </w:r>
    </w:p>
    <w:p>
      <w:pPr>
        <w:pStyle w:val="ListBullet"/>
        <w:spacing w:after="60"/>
      </w:pPr>
      <w:r>
        <w:t>Is the policy reviewed after major changes and at least periodically?</w:t>
      </w:r>
    </w:p>
    <w:p>
      <w:pPr>
        <w:pStyle w:val="Heading1"/>
      </w:pPr>
      <w:r>
        <w:t>Appendix B — Suggested Evidence Register</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2F3"/>
          </w:tcPr>
          <w:p>
            <w:r/>
            <w:r>
              <w:rPr>
                <w:rFonts w:ascii="Aptos" w:hAnsi="Aptos"/>
                <w:b/>
                <w:sz w:val="18"/>
              </w:rPr>
              <w:t>Control Area</w:t>
            </w:r>
          </w:p>
        </w:tc>
        <w:tc>
          <w:tcPr>
            <w:tcW w:type="dxa" w:w="7488"/>
            <w:vAlign w:val="center"/>
            <w:shd w:fill="D9E2F3"/>
          </w:tcPr>
          <w:p>
            <w:r/>
            <w:r>
              <w:rPr>
                <w:rFonts w:ascii="Aptos" w:hAnsi="Aptos"/>
                <w:b/>
                <w:sz w:val="18"/>
              </w:rPr>
              <w:t>Example Evidence</w:t>
            </w:r>
          </w:p>
        </w:tc>
      </w:tr>
      <w:tr>
        <w:tc>
          <w:tcPr>
            <w:tcW w:type="dxa" w:w="2880"/>
            <w:vAlign w:val="center"/>
          </w:tcPr>
          <w:p>
            <w:r/>
            <w:r>
              <w:rPr>
                <w:rFonts w:ascii="Aptos" w:hAnsi="Aptos"/>
                <w:b w:val="0"/>
                <w:sz w:val="18"/>
              </w:rPr>
              <w:t>Access Control</w:t>
            </w:r>
          </w:p>
        </w:tc>
        <w:tc>
          <w:tcPr>
            <w:tcW w:type="dxa" w:w="7488"/>
            <w:vAlign w:val="center"/>
          </w:tcPr>
          <w:p>
            <w:r/>
            <w:r>
              <w:rPr>
                <w:rFonts w:ascii="Aptos" w:hAnsi="Aptos"/>
                <w:b w:val="0"/>
                <w:sz w:val="18"/>
              </w:rPr>
              <w:t>User access list, approval records, quarterly review record</w:t>
            </w:r>
          </w:p>
        </w:tc>
      </w:tr>
      <w:tr>
        <w:tc>
          <w:tcPr>
            <w:tcW w:type="dxa" w:w="2880"/>
            <w:vAlign w:val="center"/>
          </w:tcPr>
          <w:p>
            <w:r/>
            <w:r>
              <w:rPr>
                <w:rFonts w:ascii="Aptos" w:hAnsi="Aptos"/>
                <w:b w:val="0"/>
                <w:sz w:val="18"/>
              </w:rPr>
              <w:t>MFA</w:t>
            </w:r>
          </w:p>
        </w:tc>
        <w:tc>
          <w:tcPr>
            <w:tcW w:type="dxa" w:w="7488"/>
            <w:vAlign w:val="center"/>
          </w:tcPr>
          <w:p>
            <w:r/>
            <w:r>
              <w:rPr>
                <w:rFonts w:ascii="Aptos" w:hAnsi="Aptos"/>
                <w:b w:val="0"/>
                <w:sz w:val="18"/>
              </w:rPr>
              <w:t>MFA coverage report and exception list</w:t>
            </w:r>
          </w:p>
        </w:tc>
      </w:tr>
      <w:tr>
        <w:tc>
          <w:tcPr>
            <w:tcW w:type="dxa" w:w="2880"/>
            <w:vAlign w:val="center"/>
          </w:tcPr>
          <w:p>
            <w:r/>
            <w:r>
              <w:rPr>
                <w:rFonts w:ascii="Aptos" w:hAnsi="Aptos"/>
                <w:b w:val="0"/>
                <w:sz w:val="18"/>
              </w:rPr>
              <w:t>Patch Management</w:t>
            </w:r>
          </w:p>
        </w:tc>
        <w:tc>
          <w:tcPr>
            <w:tcW w:type="dxa" w:w="7488"/>
            <w:vAlign w:val="center"/>
          </w:tcPr>
          <w:p>
            <w:r/>
            <w:r>
              <w:rPr>
                <w:rFonts w:ascii="Aptos" w:hAnsi="Aptos"/>
                <w:b w:val="0"/>
                <w:sz w:val="18"/>
              </w:rPr>
              <w:t>Patch compliance dashboard and exception records</w:t>
            </w:r>
          </w:p>
        </w:tc>
      </w:tr>
      <w:tr>
        <w:tc>
          <w:tcPr>
            <w:tcW w:type="dxa" w:w="2880"/>
            <w:vAlign w:val="center"/>
          </w:tcPr>
          <w:p>
            <w:r/>
            <w:r>
              <w:rPr>
                <w:rFonts w:ascii="Aptos" w:hAnsi="Aptos"/>
                <w:b w:val="0"/>
                <w:sz w:val="18"/>
              </w:rPr>
              <w:t>Endpoint Security</w:t>
            </w:r>
          </w:p>
        </w:tc>
        <w:tc>
          <w:tcPr>
            <w:tcW w:type="dxa" w:w="7488"/>
            <w:vAlign w:val="center"/>
          </w:tcPr>
          <w:p>
            <w:r/>
            <w:r>
              <w:rPr>
                <w:rFonts w:ascii="Aptos" w:hAnsi="Aptos"/>
                <w:b w:val="0"/>
                <w:sz w:val="18"/>
              </w:rPr>
              <w:t>Endpoint protection/management report</w:t>
            </w:r>
          </w:p>
        </w:tc>
      </w:tr>
      <w:tr>
        <w:tc>
          <w:tcPr>
            <w:tcW w:type="dxa" w:w="2880"/>
            <w:vAlign w:val="center"/>
          </w:tcPr>
          <w:p>
            <w:r/>
            <w:r>
              <w:rPr>
                <w:rFonts w:ascii="Aptos" w:hAnsi="Aptos"/>
                <w:b w:val="0"/>
                <w:sz w:val="18"/>
              </w:rPr>
              <w:t>Logging</w:t>
            </w:r>
          </w:p>
        </w:tc>
        <w:tc>
          <w:tcPr>
            <w:tcW w:type="dxa" w:w="7488"/>
            <w:vAlign w:val="center"/>
          </w:tcPr>
          <w:p>
            <w:r/>
            <w:r>
              <w:rPr>
                <w:rFonts w:ascii="Aptos" w:hAnsi="Aptos"/>
                <w:b w:val="0"/>
                <w:sz w:val="18"/>
              </w:rPr>
              <w:t>Log-source inventory, retention settings and alert review records</w:t>
            </w:r>
          </w:p>
        </w:tc>
      </w:tr>
      <w:tr>
        <w:tc>
          <w:tcPr>
            <w:tcW w:type="dxa" w:w="2880"/>
            <w:vAlign w:val="center"/>
          </w:tcPr>
          <w:p>
            <w:r/>
            <w:r>
              <w:rPr>
                <w:rFonts w:ascii="Aptos" w:hAnsi="Aptos"/>
                <w:b w:val="0"/>
                <w:sz w:val="18"/>
              </w:rPr>
              <w:t>Incident Response</w:t>
            </w:r>
          </w:p>
        </w:tc>
        <w:tc>
          <w:tcPr>
            <w:tcW w:type="dxa" w:w="7488"/>
            <w:vAlign w:val="center"/>
          </w:tcPr>
          <w:p>
            <w:r/>
            <w:r>
              <w:rPr>
                <w:rFonts w:ascii="Aptos" w:hAnsi="Aptos"/>
                <w:b w:val="0"/>
                <w:sz w:val="18"/>
              </w:rPr>
              <w:t>Incident tickets, exercise reports and corrective-action tracker</w:t>
            </w:r>
          </w:p>
        </w:tc>
      </w:tr>
      <w:tr>
        <w:tc>
          <w:tcPr>
            <w:tcW w:type="dxa" w:w="2880"/>
            <w:vAlign w:val="center"/>
          </w:tcPr>
          <w:p>
            <w:r/>
            <w:r>
              <w:rPr>
                <w:rFonts w:ascii="Aptos" w:hAnsi="Aptos"/>
                <w:b w:val="0"/>
                <w:sz w:val="18"/>
              </w:rPr>
              <w:t>Backup</w:t>
            </w:r>
          </w:p>
        </w:tc>
        <w:tc>
          <w:tcPr>
            <w:tcW w:type="dxa" w:w="7488"/>
            <w:vAlign w:val="center"/>
          </w:tcPr>
          <w:p>
            <w:r/>
            <w:r>
              <w:rPr>
                <w:rFonts w:ascii="Aptos" w:hAnsi="Aptos"/>
                <w:b w:val="0"/>
                <w:sz w:val="18"/>
              </w:rPr>
              <w:t>Backup status report and restore-test evidence</w:t>
            </w:r>
          </w:p>
        </w:tc>
      </w:tr>
      <w:tr>
        <w:tc>
          <w:tcPr>
            <w:tcW w:type="dxa" w:w="2880"/>
            <w:vAlign w:val="center"/>
          </w:tcPr>
          <w:p>
            <w:r/>
            <w:r>
              <w:rPr>
                <w:rFonts w:ascii="Aptos" w:hAnsi="Aptos"/>
                <w:b w:val="0"/>
                <w:sz w:val="18"/>
              </w:rPr>
              <w:t>Training</w:t>
            </w:r>
          </w:p>
        </w:tc>
        <w:tc>
          <w:tcPr>
            <w:tcW w:type="dxa" w:w="7488"/>
            <w:vAlign w:val="center"/>
          </w:tcPr>
          <w:p>
            <w:r/>
            <w:r>
              <w:rPr>
                <w:rFonts w:ascii="Aptos" w:hAnsi="Aptos"/>
                <w:b w:val="0"/>
                <w:sz w:val="18"/>
              </w:rPr>
              <w:t>Completion report and awareness material</w:t>
            </w:r>
          </w:p>
        </w:tc>
      </w:tr>
      <w:tr>
        <w:tc>
          <w:tcPr>
            <w:tcW w:type="dxa" w:w="2880"/>
            <w:vAlign w:val="center"/>
          </w:tcPr>
          <w:p>
            <w:r/>
            <w:r>
              <w:rPr>
                <w:rFonts w:ascii="Aptos" w:hAnsi="Aptos"/>
                <w:b w:val="0"/>
                <w:sz w:val="18"/>
              </w:rPr>
              <w:t>Vendor Security</w:t>
            </w:r>
          </w:p>
        </w:tc>
        <w:tc>
          <w:tcPr>
            <w:tcW w:type="dxa" w:w="7488"/>
            <w:vAlign w:val="center"/>
          </w:tcPr>
          <w:p>
            <w:r/>
            <w:r>
              <w:rPr>
                <w:rFonts w:ascii="Aptos" w:hAnsi="Aptos"/>
                <w:b w:val="0"/>
                <w:sz w:val="18"/>
              </w:rPr>
              <w:t>Vendor risk assessments and security clauses</w:t>
            </w:r>
          </w:p>
        </w:tc>
      </w:tr>
      <w:tr>
        <w:tc>
          <w:tcPr>
            <w:tcW w:type="dxa" w:w="2880"/>
            <w:vAlign w:val="center"/>
          </w:tcPr>
          <w:p>
            <w:r/>
            <w:r>
              <w:rPr>
                <w:rFonts w:ascii="Aptos" w:hAnsi="Aptos"/>
                <w:b w:val="0"/>
                <w:sz w:val="18"/>
              </w:rPr>
              <w:t>Governance</w:t>
            </w:r>
          </w:p>
        </w:tc>
        <w:tc>
          <w:tcPr>
            <w:tcW w:type="dxa" w:w="7488"/>
            <w:vAlign w:val="center"/>
          </w:tcPr>
          <w:p>
            <w:r/>
            <w:r>
              <w:rPr>
                <w:rFonts w:ascii="Aptos" w:hAnsi="Aptos"/>
                <w:b w:val="0"/>
                <w:sz w:val="18"/>
              </w:rPr>
              <w:t>Approved policy version, review record and exception register</w:t>
            </w:r>
          </w:p>
        </w:tc>
      </w:tr>
    </w:tbl>
    <w:p/>
    <w:p>
      <w:pPr>
        <w:pStyle w:val="SmallNote"/>
      </w:pPr>
      <w:r>
        <w:t>End of report — prepared for the Week 3 academic task. The organization, baseline policy and examples in this document are hypothetical.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Security Policy Review | Muskan Kumari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WEEK 3 TASK — SECURITY POLICY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