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CYBER SECURITY ANALYST INTERNSHIP</w:t>
      </w:r>
    </w:p>
    <w:p>
      <w:pPr>
        <w:pStyle w:val="Title"/>
        <w:jc w:val="center"/>
      </w:pPr>
      <w:r>
        <w:t>WEEK 2 TASK</w:t>
        <w:br/>
        <w:t>INCIDENT RESPONSE PLAN</w:t>
      </w:r>
    </w:p>
    <w:p>
      <w:pPr>
        <w:pStyle w:val="Subtitle"/>
        <w:jc w:val="center"/>
      </w:pPr>
      <w:r>
        <w:t>Incident Response Plan Creation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9"/>
              </w:rPr>
              <w:t>Prepared By</w:t>
            </w:r>
          </w:p>
        </w:tc>
        <w:tc>
          <w:tcPr>
            <w:tcW w:type="dxa" w:w="4968"/>
            <w:vAlign w:val="center"/>
          </w:tcPr>
          <w:p>
            <w:r/>
            <w:r>
              <w:rPr>
                <w:b w:val="0"/>
                <w:sz w:val="19"/>
              </w:rPr>
              <w:t>Muskan Kumari</w:t>
            </w:r>
          </w:p>
        </w:tc>
      </w:tr>
      <w:tr>
        <w:tc>
          <w:tcPr>
            <w:tcW w:type="dxa" w:w="4968"/>
            <w:vAlign w:val="center"/>
            <w:shd w:fill="EDEDED"/>
          </w:tcPr>
          <w:p>
            <w:r/>
            <w:r>
              <w:rPr>
                <w:b/>
                <w:sz w:val="19"/>
              </w:rPr>
              <w:t>Course</w:t>
            </w:r>
          </w:p>
        </w:tc>
        <w:tc>
          <w:tcPr>
            <w:tcW w:type="dxa" w:w="4968"/>
            <w:vAlign w:val="center"/>
          </w:tcPr>
          <w:p>
            <w:r/>
            <w:r>
              <w:rPr>
                <w:b w:val="0"/>
                <w:sz w:val="19"/>
              </w:rPr>
              <w:t>B.Tech CSE – Cyber Security</w:t>
            </w:r>
          </w:p>
        </w:tc>
      </w:tr>
      <w:tr>
        <w:tc>
          <w:tcPr>
            <w:tcW w:type="dxa" w:w="4968"/>
            <w:vAlign w:val="center"/>
            <w:shd w:fill="EDEDED"/>
          </w:tcPr>
          <w:p>
            <w:r/>
            <w:r>
              <w:rPr>
                <w:b/>
                <w:sz w:val="19"/>
              </w:rPr>
              <w:t>College</w:t>
            </w:r>
          </w:p>
        </w:tc>
        <w:tc>
          <w:tcPr>
            <w:tcW w:type="dxa" w:w="4968"/>
            <w:vAlign w:val="center"/>
          </w:tcPr>
          <w:p>
            <w:r/>
            <w:r>
              <w:rPr>
                <w:b w:val="0"/>
                <w:sz w:val="19"/>
              </w:rPr>
              <w:t>Rungta College of Engineering and Technology, Bhilai</w:t>
            </w:r>
          </w:p>
        </w:tc>
      </w:tr>
      <w:tr>
        <w:tc>
          <w:tcPr>
            <w:tcW w:type="dxa" w:w="4968"/>
            <w:vAlign w:val="center"/>
            <w:shd w:fill="EDEDED"/>
          </w:tcPr>
          <w:p>
            <w:r/>
            <w:r>
              <w:rPr>
                <w:b/>
                <w:sz w:val="19"/>
              </w:rPr>
              <w:t>Task</w:t>
            </w:r>
          </w:p>
        </w:tc>
        <w:tc>
          <w:tcPr>
            <w:tcW w:type="dxa" w:w="4968"/>
            <w:vAlign w:val="center"/>
          </w:tcPr>
          <w:p>
            <w:r/>
            <w:r>
              <w:rPr>
                <w:b w:val="0"/>
                <w:sz w:val="19"/>
              </w:rPr>
              <w:t>Week 2 – Incident Response Plan Creation</w:t>
            </w:r>
          </w:p>
        </w:tc>
      </w:tr>
      <w:tr>
        <w:tc>
          <w:tcPr>
            <w:tcW w:type="dxa" w:w="4968"/>
            <w:vAlign w:val="center"/>
            <w:shd w:fill="EDEDED"/>
          </w:tcPr>
          <w:p>
            <w:r/>
            <w:r>
              <w:rPr>
                <w:b/>
                <w:sz w:val="19"/>
              </w:rPr>
              <w:t>Estimated Effort</w:t>
            </w:r>
          </w:p>
        </w:tc>
        <w:tc>
          <w:tcPr>
            <w:tcW w:type="dxa" w:w="4968"/>
            <w:vAlign w:val="center"/>
          </w:tcPr>
          <w:p>
            <w:r/>
            <w:r>
              <w:rPr>
                <w:b w:val="0"/>
                <w:sz w:val="19"/>
              </w:rPr>
              <w:t>32 Hours</w:t>
            </w:r>
          </w:p>
        </w:tc>
      </w:tr>
    </w:tbl>
    <w:p>
      <w:pPr>
        <w:jc w:val="center"/>
      </w:pPr>
      <w:r>
        <w:rPr>
          <w:i/>
        </w:rPr>
        <w:br/>
        <w:t>Submitted as part of the Cyber Security Analyst Internship</w:t>
      </w:r>
    </w:p>
    <w:p>
      <w:r>
        <w:br w:type="page"/>
      </w:r>
    </w:p>
    <w:p>
      <w:pPr>
        <w:pStyle w:val="Heading1"/>
      </w:pPr>
      <w:r>
        <w:t>1. Executive Summary</w:t>
      </w:r>
    </w:p>
    <w:p>
      <w:r>
        <w:t>This report presents a practical Incident Response Plan (IRP) for an organization that may experience cybersecurity incidents such as phishing, malware infection, ransomware, unauthorized access, data leakage, web application compromise, or denial-of-service activity. The objective is to provide a clear and repeatable process for identifying, containing, investigating, eradicating, and recovering from security incidents while reducing business impact.</w:t>
      </w:r>
    </w:p>
    <w:p>
      <w:r>
        <w:t>The plan is designed for real-world use by an incident response team, IT administrators, security analysts, management, legal/compliance personnel, and relevant business owners. It defines responsibilities, escalation criteria, communication procedures, evidence-handling requirements, decision points, and post-incident activities.</w:t>
      </w:r>
    </w:p>
    <w:p>
      <w:r>
        <w:t>The assignment is structured as a 32-hour project covering research, planning, drafting, review, improvement, and final documentation. The plan follows widely used incident-response concepts: preparation, detection and analysis, containment, eradication, recovery, and lessons learned.</w:t>
      </w:r>
    </w:p>
    <w:p>
      <w:pPr>
        <w:pStyle w:val="Heading1"/>
      </w:pPr>
      <w:r>
        <w:t>2. Objectives of the Incident Response Plan</w:t>
      </w:r>
    </w:p>
    <w:p>
      <w:pPr>
        <w:pStyle w:val="Heading1"/>
      </w:pPr>
      <w:r>
        <w:t>3. Scope</w:t>
      </w:r>
    </w:p>
    <w:p>
      <w:r>
        <w:t>This plan applies to organizational information systems, endpoints, servers, cloud resources, network devices, web applications, databases, identities, email systems, security tools, and business data. It covers incidents detected internally or reported by employees, customers, security vendors, managed service providers, or other trusted parties.</w:t>
      </w:r>
    </w:p>
    <w:p>
      <w:pPr>
        <w:pStyle w:val="ListBullet"/>
      </w:pPr>
      <w:r>
        <w:t>Establish a consistent process for handling cybersecurity incidents.</w:t>
      </w:r>
    </w:p>
    <w:p>
      <w:pPr>
        <w:pStyle w:val="ListBullet"/>
      </w:pPr>
      <w:r>
        <w:t>Minimize damage to systems, data, users, and business operations.</w:t>
      </w:r>
    </w:p>
    <w:p>
      <w:pPr>
        <w:pStyle w:val="ListBullet"/>
      </w:pPr>
      <w:r>
        <w:t>Enable fast detection, triage, escalation, and containment.</w:t>
      </w:r>
    </w:p>
    <w:p>
      <w:pPr>
        <w:pStyle w:val="ListBullet"/>
      </w:pPr>
      <w:r>
        <w:t>Preserve digital evidence for technical investigation and possible legal action.</w:t>
      </w:r>
    </w:p>
    <w:p>
      <w:pPr>
        <w:pStyle w:val="ListBullet"/>
      </w:pPr>
      <w:r>
        <w:t>Define clear responsibilities and communication channels.</w:t>
      </w:r>
    </w:p>
    <w:p>
      <w:pPr>
        <w:pStyle w:val="ListBullet"/>
      </w:pPr>
      <w:r>
        <w:t>Restore affected services securely and verify that the threat has been removed.</w:t>
      </w:r>
    </w:p>
    <w:p>
      <w:pPr>
        <w:pStyle w:val="ListBullet"/>
      </w:pPr>
      <w:r>
        <w:t>Document lessons learned and improve security controls after every significant incident.</w:t>
      </w:r>
    </w:p>
    <w:p>
      <w:pPr>
        <w:pStyle w:val="ListBullet"/>
      </w:pPr>
      <w:r>
        <w:t>Provide measurable criteria for evaluating incident-response performance.</w:t>
      </w:r>
    </w:p>
    <w:p>
      <w:r>
        <w:t>Examples of incidents in scope:</w:t>
      </w:r>
    </w:p>
    <w:p>
      <w:pPr>
        <w:pStyle w:val="ListBullet"/>
      </w:pPr>
      <w:r>
        <w:t>Phishing and credential theft</w:t>
      </w:r>
    </w:p>
    <w:p>
      <w:pPr>
        <w:pStyle w:val="ListBullet"/>
      </w:pPr>
      <w:r>
        <w:t>Malware or ransomware infection</w:t>
      </w:r>
    </w:p>
    <w:p>
      <w:pPr>
        <w:pStyle w:val="ListBullet"/>
      </w:pPr>
      <w:r>
        <w:t>Compromised user or administrator account</w:t>
      </w:r>
    </w:p>
    <w:p>
      <w:pPr>
        <w:pStyle w:val="ListBullet"/>
      </w:pPr>
      <w:r>
        <w:t>Unauthorized access or privilege escalation</w:t>
      </w:r>
    </w:p>
    <w:p>
      <w:pPr>
        <w:pStyle w:val="ListBullet"/>
      </w:pPr>
      <w:r>
        <w:t>Web application compromise</w:t>
      </w:r>
    </w:p>
    <w:p>
      <w:pPr>
        <w:pStyle w:val="ListBullet"/>
      </w:pPr>
      <w:r>
        <w:t>Data exfiltration or suspected data breach</w:t>
      </w:r>
    </w:p>
    <w:p>
      <w:pPr>
        <w:pStyle w:val="ListBullet"/>
      </w:pPr>
      <w:r>
        <w:t>Denial-of-service or distributed denial-of-service activity</w:t>
      </w:r>
    </w:p>
    <w:p>
      <w:pPr>
        <w:pStyle w:val="ListBullet"/>
      </w:pPr>
      <w:r>
        <w:t>Insider misuse or accidental exposure</w:t>
      </w:r>
    </w:p>
    <w:p>
      <w:pPr>
        <w:pStyle w:val="ListBullet"/>
      </w:pPr>
      <w:r>
        <w:t>Lost or stolen organizational device</w:t>
      </w:r>
    </w:p>
    <w:p>
      <w:pPr>
        <w:pStyle w:val="ListBullet"/>
      </w:pPr>
      <w:r>
        <w:t>Cloud or third-party security incident</w:t>
      </w:r>
    </w:p>
    <w:p>
      <w:pPr>
        <w:pStyle w:val="Heading1"/>
      </w:pPr>
      <w:r>
        <w:t>4. Incident Response Principles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Principle</w:t>
            </w:r>
          </w:p>
        </w:tc>
        <w:tc>
          <w:tcPr>
            <w:tcW w:type="dxa" w:w="4968"/>
            <w:vAlign w:val="center"/>
            <w:shd w:fill="D9EAF7"/>
          </w:tcPr>
          <w:p>
            <w:r/>
            <w:r>
              <w:rPr>
                <w:b/>
                <w:sz w:val="19"/>
              </w:rPr>
              <w:t>Application</w:t>
            </w:r>
          </w:p>
        </w:tc>
      </w:tr>
      <w:tr>
        <w:tc>
          <w:tcPr>
            <w:tcW w:type="dxa" w:w="4968"/>
            <w:vAlign w:val="center"/>
          </w:tcPr>
          <w:p>
            <w:r/>
            <w:r>
              <w:rPr>
                <w:b/>
                <w:sz w:val="19"/>
              </w:rPr>
              <w:t>Act quickly, but do not destroy evidence</w:t>
            </w:r>
          </w:p>
        </w:tc>
        <w:tc>
          <w:tcPr>
            <w:tcW w:type="dxa" w:w="4968"/>
            <w:vAlign w:val="center"/>
          </w:tcPr>
          <w:p>
            <w:r/>
            <w:r>
              <w:rPr>
                <w:b w:val="0"/>
                <w:sz w:val="19"/>
              </w:rPr>
              <w:t>Contain the threat while preserving logs, timestamps, files, and other evidence.</w:t>
            </w:r>
          </w:p>
        </w:tc>
      </w:tr>
      <w:tr>
        <w:tc>
          <w:tcPr>
            <w:tcW w:type="dxa" w:w="4968"/>
            <w:vAlign w:val="center"/>
          </w:tcPr>
          <w:p>
            <w:r/>
            <w:r>
              <w:rPr>
                <w:b/>
                <w:sz w:val="19"/>
              </w:rPr>
              <w:t>Safety and business continuity</w:t>
            </w:r>
          </w:p>
        </w:tc>
        <w:tc>
          <w:tcPr>
            <w:tcW w:type="dxa" w:w="4968"/>
            <w:vAlign w:val="center"/>
          </w:tcPr>
          <w:p>
            <w:r/>
            <w:r>
              <w:rPr>
                <w:b w:val="0"/>
                <w:sz w:val="19"/>
              </w:rPr>
              <w:t>Protect people and critical services before disruptive investigation steps.</w:t>
            </w:r>
          </w:p>
        </w:tc>
      </w:tr>
      <w:tr>
        <w:tc>
          <w:tcPr>
            <w:tcW w:type="dxa" w:w="4968"/>
            <w:vAlign w:val="center"/>
          </w:tcPr>
          <w:p>
            <w:r/>
            <w:r>
              <w:rPr>
                <w:b/>
                <w:sz w:val="19"/>
              </w:rPr>
              <w:t>Least privilege</w:t>
            </w:r>
          </w:p>
        </w:tc>
        <w:tc>
          <w:tcPr>
            <w:tcW w:type="dxa" w:w="4968"/>
            <w:vAlign w:val="center"/>
          </w:tcPr>
          <w:p>
            <w:r/>
            <w:r>
              <w:rPr>
                <w:b w:val="0"/>
                <w:sz w:val="19"/>
              </w:rPr>
              <w:t>Only authorized responders should access sensitive incident data and systems.</w:t>
            </w:r>
          </w:p>
        </w:tc>
      </w:tr>
      <w:tr>
        <w:tc>
          <w:tcPr>
            <w:tcW w:type="dxa" w:w="4968"/>
            <w:vAlign w:val="center"/>
          </w:tcPr>
          <w:p>
            <w:r/>
            <w:r>
              <w:rPr>
                <w:b/>
                <w:sz w:val="19"/>
              </w:rPr>
              <w:t>Need-to-know communication</w:t>
            </w:r>
          </w:p>
        </w:tc>
        <w:tc>
          <w:tcPr>
            <w:tcW w:type="dxa" w:w="4968"/>
            <w:vAlign w:val="center"/>
          </w:tcPr>
          <w:p>
            <w:r/>
            <w:r>
              <w:rPr>
                <w:b w:val="0"/>
                <w:sz w:val="19"/>
              </w:rPr>
              <w:t>Share incident information only with people who require it.</w:t>
            </w:r>
          </w:p>
        </w:tc>
      </w:tr>
      <w:tr>
        <w:tc>
          <w:tcPr>
            <w:tcW w:type="dxa" w:w="4968"/>
            <w:vAlign w:val="center"/>
          </w:tcPr>
          <w:p>
            <w:r/>
            <w:r>
              <w:rPr>
                <w:b/>
                <w:sz w:val="19"/>
              </w:rPr>
              <w:t>Document decisions</w:t>
            </w:r>
          </w:p>
        </w:tc>
        <w:tc>
          <w:tcPr>
            <w:tcW w:type="dxa" w:w="4968"/>
            <w:vAlign w:val="center"/>
          </w:tcPr>
          <w:p>
            <w:r/>
            <w:r>
              <w:rPr>
                <w:b w:val="0"/>
                <w:sz w:val="19"/>
              </w:rPr>
              <w:t>Record actions, approvals, timestamps, observations, and outcomes.</w:t>
            </w:r>
          </w:p>
        </w:tc>
      </w:tr>
      <w:tr>
        <w:tc>
          <w:tcPr>
            <w:tcW w:type="dxa" w:w="4968"/>
            <w:vAlign w:val="center"/>
          </w:tcPr>
          <w:p>
            <w:r/>
            <w:r>
              <w:rPr>
                <w:b/>
                <w:sz w:val="19"/>
              </w:rPr>
              <w:t>Validate assumptions</w:t>
            </w:r>
          </w:p>
        </w:tc>
        <w:tc>
          <w:tcPr>
            <w:tcW w:type="dxa" w:w="4968"/>
            <w:vAlign w:val="center"/>
          </w:tcPr>
          <w:p>
            <w:r/>
            <w:r>
              <w:rPr>
                <w:b w:val="0"/>
                <w:sz w:val="19"/>
              </w:rPr>
              <w:t>During serious incidents, validate trust relationships and credentials instead of relying on assumptions.</w:t>
            </w:r>
          </w:p>
        </w:tc>
      </w:tr>
    </w:tbl>
    <w:p>
      <w:pPr>
        <w:pStyle w:val="Heading1"/>
      </w:pPr>
      <w:r>
        <w:t>5. Incident Response Team and Responsibilities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Role</w:t>
            </w:r>
          </w:p>
        </w:tc>
        <w:tc>
          <w:tcPr>
            <w:tcW w:type="dxa" w:w="4968"/>
            <w:vAlign w:val="center"/>
            <w:shd w:fill="D9EAF7"/>
          </w:tcPr>
          <w:p>
            <w:r/>
            <w:r>
              <w:rPr>
                <w:b/>
                <w:sz w:val="19"/>
              </w:rPr>
              <w:t>Responsibilities</w:t>
            </w:r>
          </w:p>
        </w:tc>
      </w:tr>
      <w:tr>
        <w:tc>
          <w:tcPr>
            <w:tcW w:type="dxa" w:w="4968"/>
            <w:vAlign w:val="center"/>
          </w:tcPr>
          <w:p>
            <w:r/>
            <w:r>
              <w:rPr>
                <w:b/>
                <w:sz w:val="19"/>
              </w:rPr>
              <w:t>Incident Response Lead</w:t>
            </w:r>
          </w:p>
        </w:tc>
        <w:tc>
          <w:tcPr>
            <w:tcW w:type="dxa" w:w="4968"/>
            <w:vAlign w:val="center"/>
          </w:tcPr>
          <w:p>
            <w:r/>
            <w:r>
              <w:rPr>
                <w:b w:val="0"/>
                <w:sz w:val="19"/>
              </w:rPr>
              <w:t>Coordinates the response, assigns tasks, controls escalation, and approves major decisions.</w:t>
            </w:r>
          </w:p>
        </w:tc>
      </w:tr>
      <w:tr>
        <w:tc>
          <w:tcPr>
            <w:tcW w:type="dxa" w:w="4968"/>
            <w:vAlign w:val="center"/>
          </w:tcPr>
          <w:p>
            <w:r/>
            <w:r>
              <w:rPr>
                <w:b/>
                <w:sz w:val="19"/>
              </w:rPr>
              <w:t>Security Analyst</w:t>
            </w:r>
          </w:p>
        </w:tc>
        <w:tc>
          <w:tcPr>
            <w:tcW w:type="dxa" w:w="4968"/>
            <w:vAlign w:val="center"/>
          </w:tcPr>
          <w:p>
            <w:r/>
            <w:r>
              <w:rPr>
                <w:b w:val="0"/>
                <w:sz w:val="19"/>
              </w:rPr>
              <w:t>Performs alert triage, log analysis, IOC review, threat investigation, and incident documentation.</w:t>
            </w:r>
          </w:p>
        </w:tc>
      </w:tr>
      <w:tr>
        <w:tc>
          <w:tcPr>
            <w:tcW w:type="dxa" w:w="4968"/>
            <w:vAlign w:val="center"/>
          </w:tcPr>
          <w:p>
            <w:r/>
            <w:r>
              <w:rPr>
                <w:b/>
                <w:sz w:val="19"/>
              </w:rPr>
              <w:t>IT/System Administrator</w:t>
            </w:r>
          </w:p>
        </w:tc>
        <w:tc>
          <w:tcPr>
            <w:tcW w:type="dxa" w:w="4968"/>
            <w:vAlign w:val="center"/>
          </w:tcPr>
          <w:p>
            <w:r/>
            <w:r>
              <w:rPr>
                <w:b w:val="0"/>
                <w:sz w:val="19"/>
              </w:rPr>
              <w:t>Supports isolation, account changes, system restoration, patching, and configuration changes.</w:t>
            </w:r>
          </w:p>
        </w:tc>
      </w:tr>
      <w:tr>
        <w:tc>
          <w:tcPr>
            <w:tcW w:type="dxa" w:w="4968"/>
            <w:vAlign w:val="center"/>
          </w:tcPr>
          <w:p>
            <w:r/>
            <w:r>
              <w:rPr>
                <w:b/>
                <w:sz w:val="19"/>
              </w:rPr>
              <w:t>Network Administrator</w:t>
            </w:r>
          </w:p>
        </w:tc>
        <w:tc>
          <w:tcPr>
            <w:tcW w:type="dxa" w:w="4968"/>
            <w:vAlign w:val="center"/>
          </w:tcPr>
          <w:p>
            <w:r/>
            <w:r>
              <w:rPr>
                <w:b w:val="0"/>
                <w:sz w:val="19"/>
              </w:rPr>
              <w:t>Implements network containment such as blocking malicious destinations or isolating segments.</w:t>
            </w:r>
          </w:p>
        </w:tc>
      </w:tr>
      <w:tr>
        <w:tc>
          <w:tcPr>
            <w:tcW w:type="dxa" w:w="4968"/>
            <w:vAlign w:val="center"/>
          </w:tcPr>
          <w:p>
            <w:r/>
            <w:r>
              <w:rPr>
                <w:b/>
                <w:sz w:val="19"/>
              </w:rPr>
              <w:t>Management / Incident Owner</w:t>
            </w:r>
          </w:p>
        </w:tc>
        <w:tc>
          <w:tcPr>
            <w:tcW w:type="dxa" w:w="4968"/>
            <w:vAlign w:val="center"/>
          </w:tcPr>
          <w:p>
            <w:r/>
            <w:r>
              <w:rPr>
                <w:b w:val="0"/>
                <w:sz w:val="19"/>
              </w:rPr>
              <w:t>Makes business-risk decisions, approves major service disruption, and coordinates continuity.</w:t>
            </w:r>
          </w:p>
        </w:tc>
      </w:tr>
      <w:tr>
        <w:tc>
          <w:tcPr>
            <w:tcW w:type="dxa" w:w="4968"/>
            <w:vAlign w:val="center"/>
          </w:tcPr>
          <w:p>
            <w:r/>
            <w:r>
              <w:rPr>
                <w:b/>
                <w:sz w:val="19"/>
              </w:rPr>
              <w:t>Legal / Compliance</w:t>
            </w:r>
          </w:p>
        </w:tc>
        <w:tc>
          <w:tcPr>
            <w:tcW w:type="dxa" w:w="4968"/>
            <w:vAlign w:val="center"/>
          </w:tcPr>
          <w:p>
            <w:r/>
            <w:r>
              <w:rPr>
                <w:b w:val="0"/>
                <w:sz w:val="19"/>
              </w:rPr>
              <w:t>Advises on regulatory, contractual, privacy, evidence, and notification requirements.</w:t>
            </w:r>
          </w:p>
        </w:tc>
      </w:tr>
      <w:tr>
        <w:tc>
          <w:tcPr>
            <w:tcW w:type="dxa" w:w="4968"/>
            <w:vAlign w:val="center"/>
          </w:tcPr>
          <w:p>
            <w:r/>
            <w:r>
              <w:rPr>
                <w:b/>
                <w:sz w:val="19"/>
              </w:rPr>
              <w:t>Communications / HR</w:t>
            </w:r>
          </w:p>
        </w:tc>
        <w:tc>
          <w:tcPr>
            <w:tcW w:type="dxa" w:w="4968"/>
            <w:vAlign w:val="center"/>
          </w:tcPr>
          <w:p>
            <w:r/>
            <w:r>
              <w:rPr>
                <w:b w:val="0"/>
                <w:sz w:val="19"/>
              </w:rPr>
              <w:t>Handles approved internal or external communication and employee-related matters when required.</w:t>
            </w:r>
          </w:p>
        </w:tc>
      </w:tr>
      <w:tr>
        <w:tc>
          <w:tcPr>
            <w:tcW w:type="dxa" w:w="4968"/>
            <w:vAlign w:val="center"/>
          </w:tcPr>
          <w:p>
            <w:r/>
            <w:r>
              <w:rPr>
                <w:b/>
                <w:sz w:val="19"/>
              </w:rPr>
              <w:t>Third-Party / Vendor Contact</w:t>
            </w:r>
          </w:p>
        </w:tc>
        <w:tc>
          <w:tcPr>
            <w:tcW w:type="dxa" w:w="4968"/>
            <w:vAlign w:val="center"/>
          </w:tcPr>
          <w:p>
            <w:r/>
            <w:r>
              <w:rPr>
                <w:b w:val="0"/>
                <w:sz w:val="19"/>
              </w:rPr>
              <w:t>Provides product-specific investigation or recovery assistance when an affected service is externally managed.</w:t>
            </w:r>
          </w:p>
        </w:tc>
      </w:tr>
    </w:tbl>
    <w:p>
      <w:pPr>
        <w:pStyle w:val="Heading1"/>
      </w:pPr>
      <w:r>
        <w:t>6. Incident Classification and Severity</w:t>
      </w:r>
    </w:p>
    <w:p>
      <w:r>
        <w:t>Severity should be assigned after initial triage and updated as new evidence becomes available.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9"/>
              </w:rPr>
              <w:t>Severity</w:t>
            </w:r>
          </w:p>
        </w:tc>
        <w:tc>
          <w:tcPr>
            <w:tcW w:type="dxa" w:w="3312"/>
            <w:vAlign w:val="center"/>
            <w:shd w:fill="D9EAF7"/>
          </w:tcPr>
          <w:p>
            <w:r/>
            <w:r>
              <w:rPr>
                <w:b/>
                <w:sz w:val="19"/>
              </w:rPr>
              <w:t>Example</w:t>
            </w:r>
          </w:p>
        </w:tc>
        <w:tc>
          <w:tcPr>
            <w:tcW w:type="dxa" w:w="3312"/>
            <w:vAlign w:val="center"/>
            <w:shd w:fill="D9EAF7"/>
          </w:tcPr>
          <w:p>
            <w:r/>
            <w:r>
              <w:rPr>
                <w:b/>
                <w:sz w:val="19"/>
              </w:rPr>
              <w:t>Response</w:t>
            </w:r>
          </w:p>
        </w:tc>
      </w:tr>
      <w:tr>
        <w:tc>
          <w:tcPr>
            <w:tcW w:type="dxa" w:w="3312"/>
            <w:vAlign w:val="center"/>
          </w:tcPr>
          <w:p>
            <w:r/>
            <w:r>
              <w:rPr>
                <w:b/>
                <w:sz w:val="19"/>
              </w:rPr>
              <w:t>Critical / P1</w:t>
            </w:r>
          </w:p>
        </w:tc>
        <w:tc>
          <w:tcPr>
            <w:tcW w:type="dxa" w:w="3312"/>
            <w:vAlign w:val="center"/>
          </w:tcPr>
          <w:p>
            <w:r/>
            <w:r>
              <w:rPr>
                <w:b w:val="0"/>
                <w:sz w:val="19"/>
              </w:rPr>
              <w:t>Major business disruption, widespread ransomware, confirmed large-scale data compromise, or active attack on critical systems.</w:t>
            </w:r>
          </w:p>
        </w:tc>
        <w:tc>
          <w:tcPr>
            <w:tcW w:type="dxa" w:w="3312"/>
            <w:vAlign w:val="center"/>
          </w:tcPr>
          <w:p>
            <w:r/>
            <w:r>
              <w:rPr>
                <w:b w:val="0"/>
                <w:sz w:val="19"/>
              </w:rPr>
              <w:t>Immediate response; senior management and relevant specialists engaged.</w:t>
            </w:r>
          </w:p>
        </w:tc>
      </w:tr>
      <w:tr>
        <w:tc>
          <w:tcPr>
            <w:tcW w:type="dxa" w:w="3312"/>
            <w:vAlign w:val="center"/>
          </w:tcPr>
          <w:p>
            <w:r/>
            <w:r>
              <w:rPr>
                <w:b/>
                <w:sz w:val="19"/>
              </w:rPr>
              <w:t>High / P2</w:t>
            </w:r>
          </w:p>
        </w:tc>
        <w:tc>
          <w:tcPr>
            <w:tcW w:type="dxa" w:w="3312"/>
            <w:vAlign w:val="center"/>
          </w:tcPr>
          <w:p>
            <w:r/>
            <w:r>
              <w:rPr>
                <w:b w:val="0"/>
                <w:sz w:val="19"/>
              </w:rPr>
              <w:t>Confirmed compromise of an important server, privileged account, or sensitive application.</w:t>
            </w:r>
          </w:p>
        </w:tc>
        <w:tc>
          <w:tcPr>
            <w:tcW w:type="dxa" w:w="3312"/>
            <w:vAlign w:val="center"/>
          </w:tcPr>
          <w:p>
            <w:r/>
            <w:r>
              <w:rPr>
                <w:b w:val="0"/>
                <w:sz w:val="19"/>
              </w:rPr>
              <w:t>Rapid containment and investigation; frequent status updates.</w:t>
            </w:r>
          </w:p>
        </w:tc>
      </w:tr>
      <w:tr>
        <w:tc>
          <w:tcPr>
            <w:tcW w:type="dxa" w:w="3312"/>
            <w:vAlign w:val="center"/>
          </w:tcPr>
          <w:p>
            <w:r/>
            <w:r>
              <w:rPr>
                <w:b/>
                <w:sz w:val="19"/>
              </w:rPr>
              <w:t>Medium / P3</w:t>
            </w:r>
          </w:p>
        </w:tc>
        <w:tc>
          <w:tcPr>
            <w:tcW w:type="dxa" w:w="3312"/>
            <w:vAlign w:val="center"/>
          </w:tcPr>
          <w:p>
            <w:r/>
            <w:r>
              <w:rPr>
                <w:b w:val="0"/>
                <w:sz w:val="19"/>
              </w:rPr>
              <w:t>Limited malware, suspicious login, phishing affecting a small number of users, or contained policy violation.</w:t>
            </w:r>
          </w:p>
        </w:tc>
        <w:tc>
          <w:tcPr>
            <w:tcW w:type="dxa" w:w="3312"/>
            <w:vAlign w:val="center"/>
          </w:tcPr>
          <w:p>
            <w:r/>
            <w:r>
              <w:rPr>
                <w:b w:val="0"/>
                <w:sz w:val="19"/>
              </w:rPr>
              <w:t>Standard incident workflow with scheduled updates.</w:t>
            </w:r>
          </w:p>
        </w:tc>
      </w:tr>
      <w:tr>
        <w:tc>
          <w:tcPr>
            <w:tcW w:type="dxa" w:w="3312"/>
            <w:vAlign w:val="center"/>
          </w:tcPr>
          <w:p>
            <w:r/>
            <w:r>
              <w:rPr>
                <w:b/>
                <w:sz w:val="19"/>
              </w:rPr>
              <w:t>Low / P4</w:t>
            </w:r>
          </w:p>
        </w:tc>
        <w:tc>
          <w:tcPr>
            <w:tcW w:type="dxa" w:w="3312"/>
            <w:vAlign w:val="center"/>
          </w:tcPr>
          <w:p>
            <w:r/>
            <w:r>
              <w:rPr>
                <w:b w:val="0"/>
                <w:sz w:val="19"/>
              </w:rPr>
              <w:t>Low-risk event, blocked attempt, false positive, or minor security policy issue.</w:t>
            </w:r>
          </w:p>
        </w:tc>
        <w:tc>
          <w:tcPr>
            <w:tcW w:type="dxa" w:w="3312"/>
            <w:vAlign w:val="center"/>
          </w:tcPr>
          <w:p>
            <w:r/>
            <w:r>
              <w:rPr>
                <w:b w:val="0"/>
                <w:sz w:val="19"/>
              </w:rPr>
              <w:t>Document, monitor, and close after validation.</w:t>
            </w:r>
          </w:p>
        </w:tc>
      </w:tr>
    </w:tbl>
    <w:p>
      <w:pPr>
        <w:pStyle w:val="Heading1"/>
      </w:pPr>
      <w:r>
        <w:t>7. Incident Response Lifecycle</w:t>
      </w:r>
    </w:p>
    <w:p>
      <w:r>
        <w:t>The response lifecycle is organized into Preparation, Detection and Analysis, Containment, Eradication, Recovery, and Lessons Learned. These phases are iterative rather than strictly linear.</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Phase</w:t>
            </w:r>
          </w:p>
        </w:tc>
        <w:tc>
          <w:tcPr>
            <w:tcW w:type="dxa" w:w="4968"/>
            <w:vAlign w:val="center"/>
            <w:shd w:fill="D9EAF7"/>
          </w:tcPr>
          <w:p>
            <w:r/>
            <w:r>
              <w:rPr>
                <w:b/>
                <w:sz w:val="19"/>
              </w:rPr>
              <w:t>Key Activities</w:t>
            </w:r>
          </w:p>
        </w:tc>
      </w:tr>
      <w:tr>
        <w:tc>
          <w:tcPr>
            <w:tcW w:type="dxa" w:w="4968"/>
            <w:vAlign w:val="center"/>
          </w:tcPr>
          <w:p>
            <w:r/>
            <w:r>
              <w:rPr>
                <w:b/>
                <w:sz w:val="19"/>
              </w:rPr>
              <w:t>1. Preparation</w:t>
            </w:r>
          </w:p>
        </w:tc>
        <w:tc>
          <w:tcPr>
            <w:tcW w:type="dxa" w:w="4968"/>
            <w:vAlign w:val="center"/>
          </w:tcPr>
          <w:p>
            <w:r/>
            <w:r>
              <w:rPr>
                <w:b w:val="0"/>
                <w:sz w:val="19"/>
              </w:rPr>
              <w:t>Policies, contacts, tools, backups, logging, training, and exercises.</w:t>
            </w:r>
          </w:p>
        </w:tc>
      </w:tr>
      <w:tr>
        <w:tc>
          <w:tcPr>
            <w:tcW w:type="dxa" w:w="4968"/>
            <w:vAlign w:val="center"/>
          </w:tcPr>
          <w:p>
            <w:r/>
            <w:r>
              <w:rPr>
                <w:b/>
                <w:sz w:val="19"/>
              </w:rPr>
              <w:t>2. Detection &amp; Analysis</w:t>
            </w:r>
          </w:p>
        </w:tc>
        <w:tc>
          <w:tcPr>
            <w:tcW w:type="dxa" w:w="4968"/>
            <w:vAlign w:val="center"/>
          </w:tcPr>
          <w:p>
            <w:r/>
            <w:r>
              <w:rPr>
                <w:b w:val="0"/>
                <w:sz w:val="19"/>
              </w:rPr>
              <w:t>Validate alerts, collect initial facts, identify affected assets, determine scope, and classify severity.</w:t>
            </w:r>
          </w:p>
        </w:tc>
      </w:tr>
      <w:tr>
        <w:tc>
          <w:tcPr>
            <w:tcW w:type="dxa" w:w="4968"/>
            <w:vAlign w:val="center"/>
          </w:tcPr>
          <w:p>
            <w:r/>
            <w:r>
              <w:rPr>
                <w:b/>
                <w:sz w:val="19"/>
              </w:rPr>
              <w:t>3. Containment</w:t>
            </w:r>
          </w:p>
        </w:tc>
        <w:tc>
          <w:tcPr>
            <w:tcW w:type="dxa" w:w="4968"/>
            <w:vAlign w:val="center"/>
          </w:tcPr>
          <w:p>
            <w:r/>
            <w:r>
              <w:rPr>
                <w:b w:val="0"/>
                <w:sz w:val="19"/>
              </w:rPr>
              <w:t>Limit attacker access and prevent additional damage while preserving evidence.</w:t>
            </w:r>
          </w:p>
        </w:tc>
      </w:tr>
      <w:tr>
        <w:tc>
          <w:tcPr>
            <w:tcW w:type="dxa" w:w="4968"/>
            <w:vAlign w:val="center"/>
          </w:tcPr>
          <w:p>
            <w:r/>
            <w:r>
              <w:rPr>
                <w:b/>
                <w:sz w:val="19"/>
              </w:rPr>
              <w:t>4. Eradication</w:t>
            </w:r>
          </w:p>
        </w:tc>
        <w:tc>
          <w:tcPr>
            <w:tcW w:type="dxa" w:w="4968"/>
            <w:vAlign w:val="center"/>
          </w:tcPr>
          <w:p>
            <w:r/>
            <w:r>
              <w:rPr>
                <w:b w:val="0"/>
                <w:sz w:val="19"/>
              </w:rPr>
              <w:t>Remove malware, persistence, unauthorized accounts, vulnerable configurations, and attacker access.</w:t>
            </w:r>
          </w:p>
        </w:tc>
      </w:tr>
      <w:tr>
        <w:tc>
          <w:tcPr>
            <w:tcW w:type="dxa" w:w="4968"/>
            <w:vAlign w:val="center"/>
          </w:tcPr>
          <w:p>
            <w:r/>
            <w:r>
              <w:rPr>
                <w:b/>
                <w:sz w:val="19"/>
              </w:rPr>
              <w:t>5. Recovery</w:t>
            </w:r>
          </w:p>
        </w:tc>
        <w:tc>
          <w:tcPr>
            <w:tcW w:type="dxa" w:w="4968"/>
            <w:vAlign w:val="center"/>
          </w:tcPr>
          <w:p>
            <w:r/>
            <w:r>
              <w:rPr>
                <w:b w:val="0"/>
                <w:sz w:val="19"/>
              </w:rPr>
              <w:t>Restore clean services, monitor for recurrence, validate security, and return to normal operations.</w:t>
            </w:r>
          </w:p>
        </w:tc>
      </w:tr>
      <w:tr>
        <w:tc>
          <w:tcPr>
            <w:tcW w:type="dxa" w:w="4968"/>
            <w:vAlign w:val="center"/>
          </w:tcPr>
          <w:p>
            <w:r/>
            <w:r>
              <w:rPr>
                <w:b/>
                <w:sz w:val="19"/>
              </w:rPr>
              <w:t>6. Lessons Learned</w:t>
            </w:r>
          </w:p>
        </w:tc>
        <w:tc>
          <w:tcPr>
            <w:tcW w:type="dxa" w:w="4968"/>
            <w:vAlign w:val="center"/>
          </w:tcPr>
          <w:p>
            <w:r/>
            <w:r>
              <w:rPr>
                <w:b w:val="0"/>
                <w:sz w:val="19"/>
              </w:rPr>
              <w:t>Conduct a review, document root cause, measure performance, and implement improvements.</w:t>
            </w:r>
          </w:p>
        </w:tc>
      </w:tr>
    </w:tbl>
    <w:p>
      <w:pPr>
        <w:pStyle w:val="Heading1"/>
      </w:pPr>
      <w:r>
        <w:t>8. Phase 1 – Preparation</w:t>
      </w:r>
    </w:p>
    <w:p>
      <w:pPr>
        <w:pStyle w:val="Heading2"/>
      </w:pPr>
      <w:r>
        <w:t>8.1 Policies and Documentation</w:t>
      </w:r>
    </w:p>
    <w:p>
      <w:pPr>
        <w:pStyle w:val="ListBullet"/>
      </w:pPr>
      <w:r>
        <w:t>Maintain an approved incident response policy and escalation matrix.</w:t>
      </w:r>
    </w:p>
    <w:p>
      <w:pPr>
        <w:pStyle w:val="ListBullet"/>
      </w:pPr>
      <w:r>
        <w:t>Maintain an up-to-date asset inventory and criticality classification.</w:t>
      </w:r>
    </w:p>
    <w:p>
      <w:pPr>
        <w:pStyle w:val="ListBullet"/>
      </w:pPr>
      <w:r>
        <w:t>Maintain contact information for internal teams, management, legal/compliance, and key vendors.</w:t>
      </w:r>
    </w:p>
    <w:p>
      <w:pPr>
        <w:pStyle w:val="ListBullet"/>
      </w:pPr>
      <w:r>
        <w:t>Define evidence retention and access rules.</w:t>
      </w:r>
    </w:p>
    <w:p>
      <w:pPr>
        <w:pStyle w:val="ListBullet"/>
      </w:pPr>
      <w:r>
        <w:t>Prepare playbooks for phishing, malware, ransomware, account compromise, data breach, and DDoS.</w:t>
      </w:r>
    </w:p>
    <w:p>
      <w:pPr>
        <w:pStyle w:val="Heading2"/>
      </w:pPr>
      <w:r>
        <w:t>8.2 Technical Readiness</w:t>
      </w:r>
    </w:p>
    <w:p>
      <w:pPr>
        <w:pStyle w:val="ListBullet"/>
      </w:pPr>
      <w:r>
        <w:t>Centralize authentication, endpoint, firewall, DNS, VPN, application, and cloud logs where practical.</w:t>
      </w:r>
    </w:p>
    <w:p>
      <w:pPr>
        <w:pStyle w:val="ListBullet"/>
      </w:pPr>
      <w:r>
        <w:t>Synchronize system clocks to a reliable time source.</w:t>
      </w:r>
    </w:p>
    <w:p>
      <w:pPr>
        <w:pStyle w:val="ListBullet"/>
      </w:pPr>
      <w:r>
        <w:t>Maintain secure, tested backups, including appropriate offline or immutable copies for critical systems.</w:t>
      </w:r>
    </w:p>
    <w:p>
      <w:pPr>
        <w:pStyle w:val="ListBullet"/>
      </w:pPr>
      <w:r>
        <w:t>Deploy endpoint protection and centralized monitoring.</w:t>
      </w:r>
    </w:p>
    <w:p>
      <w:pPr>
        <w:pStyle w:val="ListBullet"/>
      </w:pPr>
      <w:r>
        <w:t>Maintain vulnerability and patch-management processes.</w:t>
      </w:r>
    </w:p>
    <w:p>
      <w:pPr>
        <w:pStyle w:val="ListBullet"/>
      </w:pPr>
      <w:r>
        <w:t>Prepare secure administrator accounts and emergency access procedures.</w:t>
      </w:r>
    </w:p>
    <w:p>
      <w:pPr>
        <w:pStyle w:val="Heading1"/>
      </w:pPr>
      <w:r>
        <w:t>9. Phase 2 – Detection and Analysis</w:t>
      </w:r>
    </w:p>
    <w:p>
      <w:r>
        <w:t>The first goal is to determine whether an alert represents a real security incident. Analysts should avoid immediately making destructive changes unless required to stop active harm.</w:t>
      </w:r>
    </w:p>
    <w:p>
      <w:pPr>
        <w:pStyle w:val="Heading2"/>
      </w:pPr>
      <w:r>
        <w:t>9.1 Initial Triage Checklist</w:t>
      </w:r>
    </w:p>
    <w:p>
      <w:pPr>
        <w:pStyle w:val="ListNumber"/>
      </w:pPr>
      <w:r>
        <w:t>Record the date/time and source of the alert.</w:t>
      </w:r>
    </w:p>
    <w:p>
      <w:pPr>
        <w:pStyle w:val="ListNumber"/>
      </w:pPr>
      <w:r>
        <w:t>Identify the affected user, device, IP address, hostname, application, or cloud resource.</w:t>
      </w:r>
    </w:p>
    <w:p>
      <w:pPr>
        <w:pStyle w:val="ListNumber"/>
      </w:pPr>
      <w:r>
        <w:t>Validate whether the activity is expected or authorized.</w:t>
      </w:r>
    </w:p>
    <w:p>
      <w:pPr>
        <w:pStyle w:val="ListNumber"/>
      </w:pPr>
      <w:r>
        <w:t>Review relevant authentication, endpoint, network, DNS, proxy, email, and application logs.</w:t>
      </w:r>
    </w:p>
    <w:p>
      <w:pPr>
        <w:pStyle w:val="ListNumber"/>
      </w:pPr>
      <w:r>
        <w:t>Identify indicators of compromise (IOCs), including suspicious hashes, domains, IPs, URLs, filenames, and accounts.</w:t>
      </w:r>
    </w:p>
    <w:p>
      <w:pPr>
        <w:pStyle w:val="ListNumber"/>
      </w:pPr>
      <w:r>
        <w:t>Estimate the number of affected assets and users.</w:t>
      </w:r>
    </w:p>
    <w:p>
      <w:pPr>
        <w:pStyle w:val="ListNumber"/>
      </w:pPr>
      <w:r>
        <w:t>Assign preliminary severity and escalate according to the matrix.</w:t>
      </w:r>
    </w:p>
    <w:p>
      <w:pPr>
        <w:pStyle w:val="Heading2"/>
      </w:pPr>
      <w:r>
        <w:t>9.2 Evidence to Collect</w:t>
      </w:r>
    </w:p>
    <w:p>
      <w:pPr>
        <w:pStyle w:val="ListBullet"/>
      </w:pPr>
      <w:r>
        <w:t>Security alert details and screenshots where useful</w:t>
      </w:r>
    </w:p>
    <w:p>
      <w:pPr>
        <w:pStyle w:val="ListBullet"/>
      </w:pPr>
      <w:r>
        <w:t>Relevant log entries with timestamps</w:t>
      </w:r>
    </w:p>
    <w:p>
      <w:pPr>
        <w:pStyle w:val="ListBullet"/>
      </w:pPr>
      <w:r>
        <w:t>Process and network connection information</w:t>
      </w:r>
    </w:p>
    <w:p>
      <w:pPr>
        <w:pStyle w:val="ListBullet"/>
      </w:pPr>
      <w:r>
        <w:t>User/account activity and authentication history</w:t>
      </w:r>
    </w:p>
    <w:p>
      <w:pPr>
        <w:pStyle w:val="ListBullet"/>
      </w:pPr>
      <w:r>
        <w:t>Suspicious files and cryptographic hashes</w:t>
      </w:r>
    </w:p>
    <w:p>
      <w:pPr>
        <w:pStyle w:val="ListBullet"/>
      </w:pPr>
      <w:r>
        <w:t>Email headers and attachments for phishing incidents</w:t>
      </w:r>
    </w:p>
    <w:p>
      <w:pPr>
        <w:pStyle w:val="ListBullet"/>
      </w:pPr>
      <w:r>
        <w:t>Firewall, proxy, DNS, VPN, and web server records</w:t>
      </w:r>
    </w:p>
    <w:p>
      <w:pPr>
        <w:pStyle w:val="ListBullet"/>
      </w:pPr>
      <w:r>
        <w:t>Cloud audit logs and identity-provider events</w:t>
      </w:r>
    </w:p>
    <w:p>
      <w:pPr>
        <w:pStyle w:val="ListBullet"/>
      </w:pPr>
      <w:r>
        <w:t>System configuration and relevant volatile information when technically appropriate</w:t>
      </w:r>
    </w:p>
    <w:p>
      <w:pPr>
        <w:pStyle w:val="Heading1"/>
      </w:pPr>
      <w:r>
        <w:t>10. Phase 3 – Containment</w:t>
      </w:r>
    </w:p>
    <w:p>
      <w:r>
        <w:t>Containment aims to stop the incident from spreading while maintaining sufficient evidence for investigation. The least disruptive effective action should normally be selected unless the incident presents immediate risk.</w:t>
      </w:r>
    </w:p>
    <w:p>
      <w:pPr>
        <w:pStyle w:val="Heading2"/>
      </w:pPr>
      <w:r>
        <w:t>10.1 Short-Term Containment</w:t>
      </w:r>
    </w:p>
    <w:p>
      <w:pPr>
        <w:pStyle w:val="ListBullet"/>
      </w:pPr>
      <w:r>
        <w:t>Isolate compromised endpoints from the network using approved security controls.</w:t>
      </w:r>
    </w:p>
    <w:p>
      <w:pPr>
        <w:pStyle w:val="ListBullet"/>
      </w:pPr>
      <w:r>
        <w:t>Disable or restrict compromised accounts and revoke active sessions where appropriate.</w:t>
      </w:r>
    </w:p>
    <w:p>
      <w:pPr>
        <w:pStyle w:val="ListBullet"/>
      </w:pPr>
      <w:r>
        <w:t>Block confirmed malicious indicators at relevant security controls.</w:t>
      </w:r>
    </w:p>
    <w:p>
      <w:pPr>
        <w:pStyle w:val="ListBullet"/>
      </w:pPr>
      <w:r>
        <w:t>Segment affected systems from unaffected critical assets.</w:t>
      </w:r>
    </w:p>
    <w:p>
      <w:pPr>
        <w:pStyle w:val="ListBullet"/>
      </w:pPr>
      <w:r>
        <w:t>Temporarily disable exposed services when necessary to prevent further compromise.</w:t>
      </w:r>
    </w:p>
    <w:p>
      <w:pPr>
        <w:pStyle w:val="ListBullet"/>
      </w:pPr>
      <w:r>
        <w:t>Preserve key logs and evidence before systems are rebuilt or heavily modified.</w:t>
      </w:r>
    </w:p>
    <w:p>
      <w:pPr>
        <w:pStyle w:val="Heading2"/>
      </w:pPr>
      <w:r>
        <w:t>10.2 Containment Decision Record</w:t>
      </w:r>
    </w:p>
    <w:p>
      <w:pPr>
        <w:pStyle w:val="ListBullet"/>
      </w:pPr>
      <w:r>
        <w:t>What asset was contained?</w:t>
      </w:r>
    </w:p>
    <w:p>
      <w:pPr>
        <w:pStyle w:val="ListBullet"/>
      </w:pPr>
      <w:r>
        <w:t>Why was containment required?</w:t>
      </w:r>
    </w:p>
    <w:p>
      <w:pPr>
        <w:pStyle w:val="ListBullet"/>
      </w:pPr>
      <w:r>
        <w:t>Who approved the action?</w:t>
      </w:r>
    </w:p>
    <w:p>
      <w:pPr>
        <w:pStyle w:val="ListBullet"/>
      </w:pPr>
      <w:r>
        <w:t>What business impact was expected?</w:t>
      </w:r>
    </w:p>
    <w:p>
      <w:pPr>
        <w:pStyle w:val="ListBullet"/>
      </w:pPr>
      <w:r>
        <w:t>What evidence was preserved first?</w:t>
      </w:r>
    </w:p>
    <w:p>
      <w:pPr>
        <w:pStyle w:val="ListBullet"/>
      </w:pPr>
      <w:r>
        <w:t>What monitoring was enabled after containment?</w:t>
      </w:r>
    </w:p>
    <w:p>
      <w:pPr>
        <w:pStyle w:val="Heading1"/>
      </w:pPr>
      <w:r>
        <w:t>11. Phase 4 – Eradication</w:t>
      </w:r>
    </w:p>
    <w:p>
      <w:pPr>
        <w:pStyle w:val="ListBullet"/>
      </w:pPr>
      <w:r>
        <w:t>Identify and remove malware, persistence mechanisms, unauthorized accounts, and malicious scheduled tasks.</w:t>
      </w:r>
    </w:p>
    <w:p>
      <w:pPr>
        <w:pStyle w:val="ListBullet"/>
      </w:pPr>
      <w:r>
        <w:t>Reset affected credentials and rotate secrets/tokens when compromise is suspected.</w:t>
      </w:r>
    </w:p>
    <w:p>
      <w:pPr>
        <w:pStyle w:val="ListBullet"/>
      </w:pPr>
      <w:r>
        <w:t>Patch or mitigate the exploited vulnerability.</w:t>
      </w:r>
    </w:p>
    <w:p>
      <w:pPr>
        <w:pStyle w:val="ListBullet"/>
      </w:pPr>
      <w:r>
        <w:t>Remove unauthorized remote-access mechanisms and verify security configurations.</w:t>
      </w:r>
    </w:p>
    <w:p>
      <w:pPr>
        <w:pStyle w:val="ListBullet"/>
      </w:pPr>
      <w:r>
        <w:t>Scan and validate affected systems using approved security tools.</w:t>
      </w:r>
    </w:p>
    <w:p>
      <w:pPr>
        <w:pStyle w:val="ListBullet"/>
      </w:pPr>
      <w:r>
        <w:t>Review related systems for the same indicators to identify lateral movement or repeated compromise.</w:t>
      </w:r>
    </w:p>
    <w:p>
      <w:pPr>
        <w:pStyle w:val="ListBullet"/>
      </w:pPr>
      <w:r>
        <w:t>Document the suspected root cause and contributing weaknesses.</w:t>
      </w:r>
    </w:p>
    <w:p>
      <w:pPr>
        <w:pStyle w:val="Heading1"/>
      </w:pPr>
      <w:r>
        <w:t>12. Phase 5 – Recovery</w:t>
      </w:r>
    </w:p>
    <w:p>
      <w:pPr>
        <w:pStyle w:val="ListNumber"/>
      </w:pPr>
      <w:r>
        <w:t>Restore systems from known-clean backups or trusted images.</w:t>
      </w:r>
    </w:p>
    <w:p>
      <w:pPr>
        <w:pStyle w:val="ListNumber"/>
      </w:pPr>
      <w:r>
        <w:t>Apply required patches and security configuration before reconnecting systems.</w:t>
      </w:r>
    </w:p>
    <w:p>
      <w:pPr>
        <w:pStyle w:val="ListNumber"/>
      </w:pPr>
      <w:r>
        <w:t>Validate identity, endpoint, network, application, and logging controls.</w:t>
      </w:r>
    </w:p>
    <w:p>
      <w:pPr>
        <w:pStyle w:val="ListNumber"/>
      </w:pPr>
      <w:r>
        <w:t>Reconnect systems in a controlled sequence, prioritizing critical services.</w:t>
      </w:r>
    </w:p>
    <w:p>
      <w:pPr>
        <w:pStyle w:val="ListNumber"/>
      </w:pPr>
      <w:r>
        <w:t>Increase monitoring for signs of reinfection or attacker persistence.</w:t>
      </w:r>
    </w:p>
    <w:p>
      <w:pPr>
        <w:pStyle w:val="ListNumber"/>
      </w:pPr>
      <w:r>
        <w:t>Obtain service-owner confirmation that business functionality is operating normally.</w:t>
      </w:r>
    </w:p>
    <w:p>
      <w:pPr>
        <w:pStyle w:val="ListNumber"/>
      </w:pPr>
      <w:r>
        <w:t>Keep enhanced monitoring until the incident lead confirms that risk has reduced to an acceptable level.</w:t>
      </w:r>
    </w:p>
    <w:p>
      <w:pPr>
        <w:pStyle w:val="Heading1"/>
      </w:pPr>
      <w:r>
        <w:t>13. Communication and Escalation Plan</w:t>
      </w:r>
    </w:p>
    <w:p>
      <w:r>
        <w:t>Incident communication must be accurate, controlled, and appropriate to the sensitivity of the incident. Only authorized personnel should communicate externally.</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9"/>
              </w:rPr>
              <w:t>Communication</w:t>
            </w:r>
          </w:p>
        </w:tc>
        <w:tc>
          <w:tcPr>
            <w:tcW w:type="dxa" w:w="3312"/>
            <w:vAlign w:val="center"/>
            <w:shd w:fill="D9EAF7"/>
          </w:tcPr>
          <w:p>
            <w:r/>
            <w:r>
              <w:rPr>
                <w:b/>
                <w:sz w:val="19"/>
              </w:rPr>
              <w:t>Audience</w:t>
            </w:r>
          </w:p>
        </w:tc>
        <w:tc>
          <w:tcPr>
            <w:tcW w:type="dxa" w:w="3312"/>
            <w:vAlign w:val="center"/>
            <w:shd w:fill="D9EAF7"/>
          </w:tcPr>
          <w:p>
            <w:r/>
            <w:r>
              <w:rPr>
                <w:b/>
                <w:sz w:val="19"/>
              </w:rPr>
              <w:t>Timing</w:t>
            </w:r>
          </w:p>
        </w:tc>
      </w:tr>
      <w:tr>
        <w:tc>
          <w:tcPr>
            <w:tcW w:type="dxa" w:w="3312"/>
            <w:vAlign w:val="center"/>
          </w:tcPr>
          <w:p>
            <w:r/>
            <w:r>
              <w:rPr>
                <w:b w:val="0"/>
                <w:sz w:val="19"/>
              </w:rPr>
              <w:t>Initial notification</w:t>
            </w:r>
          </w:p>
        </w:tc>
        <w:tc>
          <w:tcPr>
            <w:tcW w:type="dxa" w:w="3312"/>
            <w:vAlign w:val="center"/>
          </w:tcPr>
          <w:p>
            <w:r/>
            <w:r>
              <w:rPr>
                <w:b w:val="0"/>
                <w:sz w:val="19"/>
              </w:rPr>
              <w:t>Incident Lead + relevant technical team</w:t>
            </w:r>
          </w:p>
        </w:tc>
        <w:tc>
          <w:tcPr>
            <w:tcW w:type="dxa" w:w="3312"/>
            <w:vAlign w:val="center"/>
          </w:tcPr>
          <w:p>
            <w:r/>
            <w:r>
              <w:rPr>
                <w:b w:val="0"/>
                <w:sz w:val="19"/>
              </w:rPr>
              <w:t>As soon as a confirmed significant incident is identified.</w:t>
            </w:r>
          </w:p>
        </w:tc>
      </w:tr>
      <w:tr>
        <w:tc>
          <w:tcPr>
            <w:tcW w:type="dxa" w:w="3312"/>
            <w:vAlign w:val="center"/>
          </w:tcPr>
          <w:p>
            <w:r/>
            <w:r>
              <w:rPr>
                <w:b w:val="0"/>
                <w:sz w:val="19"/>
              </w:rPr>
              <w:t>Management escalation</w:t>
            </w:r>
          </w:p>
        </w:tc>
        <w:tc>
          <w:tcPr>
            <w:tcW w:type="dxa" w:w="3312"/>
            <w:vAlign w:val="center"/>
          </w:tcPr>
          <w:p>
            <w:r/>
            <w:r>
              <w:rPr>
                <w:b w:val="0"/>
                <w:sz w:val="19"/>
              </w:rPr>
              <w:t>Management / Incident Owner</w:t>
            </w:r>
          </w:p>
        </w:tc>
        <w:tc>
          <w:tcPr>
            <w:tcW w:type="dxa" w:w="3312"/>
            <w:vAlign w:val="center"/>
          </w:tcPr>
          <w:p>
            <w:r/>
            <w:r>
              <w:rPr>
                <w:b w:val="0"/>
                <w:sz w:val="19"/>
              </w:rPr>
              <w:t>Immediately for Critical/P1; promptly for High/P2.</w:t>
            </w:r>
          </w:p>
        </w:tc>
      </w:tr>
      <w:tr>
        <w:tc>
          <w:tcPr>
            <w:tcW w:type="dxa" w:w="3312"/>
            <w:vAlign w:val="center"/>
          </w:tcPr>
          <w:p>
            <w:r/>
            <w:r>
              <w:rPr>
                <w:b w:val="0"/>
                <w:sz w:val="19"/>
              </w:rPr>
              <w:t>Legal/compliance review</w:t>
            </w:r>
          </w:p>
        </w:tc>
        <w:tc>
          <w:tcPr>
            <w:tcW w:type="dxa" w:w="3312"/>
            <w:vAlign w:val="center"/>
          </w:tcPr>
          <w:p>
            <w:r/>
            <w:r>
              <w:rPr>
                <w:b w:val="0"/>
                <w:sz w:val="19"/>
              </w:rPr>
              <w:t>Legal / Compliance</w:t>
            </w:r>
          </w:p>
        </w:tc>
        <w:tc>
          <w:tcPr>
            <w:tcW w:type="dxa" w:w="3312"/>
            <w:vAlign w:val="center"/>
          </w:tcPr>
          <w:p>
            <w:r/>
            <w:r>
              <w:rPr>
                <w:b w:val="0"/>
                <w:sz w:val="19"/>
              </w:rPr>
              <w:t>When personal, confidential, regulated, contractual, or legal concerns may exist.</w:t>
            </w:r>
          </w:p>
        </w:tc>
      </w:tr>
      <w:tr>
        <w:tc>
          <w:tcPr>
            <w:tcW w:type="dxa" w:w="3312"/>
            <w:vAlign w:val="center"/>
          </w:tcPr>
          <w:p>
            <w:r/>
            <w:r>
              <w:rPr>
                <w:b w:val="0"/>
                <w:sz w:val="19"/>
              </w:rPr>
              <w:t>Employee communication</w:t>
            </w:r>
          </w:p>
        </w:tc>
        <w:tc>
          <w:tcPr>
            <w:tcW w:type="dxa" w:w="3312"/>
            <w:vAlign w:val="center"/>
          </w:tcPr>
          <w:p>
            <w:r/>
            <w:r>
              <w:rPr>
                <w:b w:val="0"/>
                <w:sz w:val="19"/>
              </w:rPr>
              <w:t>Approved management/communications</w:t>
            </w:r>
          </w:p>
        </w:tc>
        <w:tc>
          <w:tcPr>
            <w:tcW w:type="dxa" w:w="3312"/>
            <w:vAlign w:val="center"/>
          </w:tcPr>
          <w:p>
            <w:r/>
            <w:r>
              <w:rPr>
                <w:b w:val="0"/>
                <w:sz w:val="19"/>
              </w:rPr>
              <w:t>Only when needed to support containment or business continuity.</w:t>
            </w:r>
          </w:p>
        </w:tc>
      </w:tr>
      <w:tr>
        <w:tc>
          <w:tcPr>
            <w:tcW w:type="dxa" w:w="3312"/>
            <w:vAlign w:val="center"/>
          </w:tcPr>
          <w:p>
            <w:r/>
            <w:r>
              <w:rPr>
                <w:b w:val="0"/>
                <w:sz w:val="19"/>
              </w:rPr>
              <w:t>External notification</w:t>
            </w:r>
          </w:p>
        </w:tc>
        <w:tc>
          <w:tcPr>
            <w:tcW w:type="dxa" w:w="3312"/>
            <w:vAlign w:val="center"/>
          </w:tcPr>
          <w:p>
            <w:r/>
            <w:r>
              <w:rPr>
                <w:b w:val="0"/>
                <w:sz w:val="19"/>
              </w:rPr>
              <w:t>Authorized management/legal/communications</w:t>
            </w:r>
          </w:p>
        </w:tc>
        <w:tc>
          <w:tcPr>
            <w:tcW w:type="dxa" w:w="3312"/>
            <w:vAlign w:val="center"/>
          </w:tcPr>
          <w:p>
            <w:r/>
            <w:r>
              <w:rPr>
                <w:b w:val="0"/>
                <w:sz w:val="19"/>
              </w:rPr>
              <w:t>According to applicable obligations and approved communication procedures.</w:t>
            </w:r>
          </w:p>
        </w:tc>
      </w:tr>
    </w:tbl>
    <w:p>
      <w:pPr>
        <w:pStyle w:val="Heading1"/>
      </w:pPr>
      <w:r>
        <w:t>14. Incident-Specific Response Playbooks</w:t>
      </w:r>
    </w:p>
    <w:p>
      <w:pPr>
        <w:pStyle w:val="Heading2"/>
      </w:pPr>
      <w:r>
        <w:t>14.1 Phishing / Credential Theft</w:t>
      </w:r>
    </w:p>
    <w:p>
      <w:pPr>
        <w:pStyle w:val="ListNumber"/>
      </w:pPr>
      <w:r>
        <w:t>Preserve the suspicious email and headers.</w:t>
      </w:r>
    </w:p>
    <w:p>
      <w:pPr>
        <w:pStyle w:val="ListNumber"/>
      </w:pPr>
      <w:r>
        <w:t>Identify affected recipients and whether the link/attachment was opened.</w:t>
      </w:r>
    </w:p>
    <w:p>
      <w:pPr>
        <w:pStyle w:val="ListNumber"/>
      </w:pPr>
      <w:r>
        <w:t>Secure compromised credentials and revoke sessions when appropriate.</w:t>
      </w:r>
    </w:p>
    <w:p>
      <w:pPr>
        <w:pStyle w:val="ListNumber"/>
      </w:pPr>
      <w:r>
        <w:t>Block malicious domains/URLs and remove the message from mailboxes where supported.</w:t>
      </w:r>
    </w:p>
    <w:p>
      <w:pPr>
        <w:pStyle w:val="ListNumber"/>
      </w:pPr>
      <w:r>
        <w:t>Check authentication logs for suspicious sign-ins.</w:t>
      </w:r>
    </w:p>
    <w:p>
      <w:pPr>
        <w:pStyle w:val="ListNumber"/>
      </w:pPr>
      <w:r>
        <w:t>Educate affected users and document the final outcome.</w:t>
      </w:r>
    </w:p>
    <w:p>
      <w:pPr>
        <w:pStyle w:val="Heading2"/>
      </w:pPr>
      <w:r>
        <w:t>14.2 Malware / Ransomware</w:t>
      </w:r>
    </w:p>
    <w:p>
      <w:pPr>
        <w:pStyle w:val="ListNumber"/>
      </w:pPr>
      <w:r>
        <w:t>Isolate affected devices immediately where justified.</w:t>
      </w:r>
    </w:p>
    <w:p>
      <w:pPr>
        <w:pStyle w:val="ListNumber"/>
      </w:pPr>
      <w:r>
        <w:t>Identify patient-zero indicators and possible lateral movement.</w:t>
      </w:r>
    </w:p>
    <w:p>
      <w:pPr>
        <w:pStyle w:val="ListNumber"/>
      </w:pPr>
      <w:r>
        <w:t>Protect backups and verify that backup infrastructure has not been compromised.</w:t>
      </w:r>
    </w:p>
    <w:p>
      <w:pPr>
        <w:pStyle w:val="ListNumber"/>
      </w:pPr>
      <w:r>
        <w:t>Collect relevant evidence before reimaging where feasible.</w:t>
      </w:r>
    </w:p>
    <w:p>
      <w:pPr>
        <w:pStyle w:val="ListNumber"/>
      </w:pPr>
      <w:r>
        <w:t>Remove persistence and rebuild systems from trusted sources.</w:t>
      </w:r>
    </w:p>
    <w:p>
      <w:pPr>
        <w:pStyle w:val="ListNumber"/>
      </w:pPr>
      <w:r>
        <w:t>Restore from verified clean backups and maintain heightened monitoring.</w:t>
      </w:r>
    </w:p>
    <w:p>
      <w:pPr>
        <w:pStyle w:val="Heading2"/>
      </w:pPr>
      <w:r>
        <w:t>14.3 Compromised Account</w:t>
      </w:r>
    </w:p>
    <w:p>
      <w:pPr>
        <w:pStyle w:val="ListNumber"/>
      </w:pPr>
      <w:r>
        <w:t>Validate suspicious authentication activity.</w:t>
      </w:r>
    </w:p>
    <w:p>
      <w:pPr>
        <w:pStyle w:val="ListNumber"/>
      </w:pPr>
      <w:r>
        <w:t>Disable, lock, or otherwise secure the account based on severity.</w:t>
      </w:r>
    </w:p>
    <w:p>
      <w:pPr>
        <w:pStyle w:val="ListNumber"/>
      </w:pPr>
      <w:r>
        <w:t>Revoke active sessions/tokens and reset credentials.</w:t>
      </w:r>
    </w:p>
    <w:p>
      <w:pPr>
        <w:pStyle w:val="ListNumber"/>
      </w:pPr>
      <w:r>
        <w:t>Review mailbox, cloud, VPN, and privileged activity.</w:t>
      </w:r>
    </w:p>
    <w:p>
      <w:pPr>
        <w:pStyle w:val="ListNumber"/>
      </w:pPr>
      <w:r>
        <w:t>Search for persistence, newly created accounts, forwarding rules, or privilege changes.</w:t>
      </w:r>
    </w:p>
    <w:p>
      <w:pPr>
        <w:pStyle w:val="ListNumber"/>
      </w:pPr>
      <w:r>
        <w:t>Restore access only after security validation.</w:t>
      </w:r>
    </w:p>
    <w:p>
      <w:pPr>
        <w:pStyle w:val="Heading2"/>
      </w:pPr>
      <w:r>
        <w:t>14.4 Data Breach / Exfiltration</w:t>
      </w:r>
    </w:p>
    <w:p>
      <w:pPr>
        <w:pStyle w:val="ListNumber"/>
      </w:pPr>
      <w:r>
        <w:t>Determine what information may have been accessed or transferred.</w:t>
      </w:r>
    </w:p>
    <w:p>
      <w:pPr>
        <w:pStyle w:val="ListNumber"/>
      </w:pPr>
      <w:r>
        <w:t>Preserve relevant logs and evidence.</w:t>
      </w:r>
    </w:p>
    <w:p>
      <w:pPr>
        <w:pStyle w:val="ListNumber"/>
      </w:pPr>
      <w:r>
        <w:t>Identify affected systems, accounts, and time window.</w:t>
      </w:r>
    </w:p>
    <w:p>
      <w:pPr>
        <w:pStyle w:val="ListNumber"/>
      </w:pPr>
      <w:r>
        <w:t>Contain unauthorized access and prevent additional transfer.</w:t>
      </w:r>
    </w:p>
    <w:p>
      <w:pPr>
        <w:pStyle w:val="ListNumber"/>
      </w:pPr>
      <w:r>
        <w:t>Coordinate legal/compliance assessment before external notification decisions.</w:t>
      </w:r>
    </w:p>
    <w:p>
      <w:pPr>
        <w:pStyle w:val="ListNumber"/>
      </w:pPr>
      <w:r>
        <w:t>Document facts separately from assumptions.</w:t>
      </w:r>
    </w:p>
    <w:p>
      <w:pPr>
        <w:pStyle w:val="Heading2"/>
      </w:pPr>
      <w:r>
        <w:t>14.5 DDoS / Availability Attack</w:t>
      </w:r>
    </w:p>
    <w:p>
      <w:pPr>
        <w:pStyle w:val="ListNumber"/>
      </w:pPr>
      <w:r>
        <w:t>Confirm that the availability problem is security-related rather than operational.</w:t>
      </w:r>
    </w:p>
    <w:p>
      <w:pPr>
        <w:pStyle w:val="ListNumber"/>
      </w:pPr>
      <w:r>
        <w:t>Identify affected services, traffic characteristics, and geographic/source patterns.</w:t>
      </w:r>
    </w:p>
    <w:p>
      <w:pPr>
        <w:pStyle w:val="ListNumber"/>
      </w:pPr>
      <w:r>
        <w:t>Engage the ISP, CDN, cloud provider, or DDoS mitigation service as appropriate.</w:t>
      </w:r>
    </w:p>
    <w:p>
      <w:pPr>
        <w:pStyle w:val="ListNumber"/>
      </w:pPr>
      <w:r>
        <w:t>Apply approved rate limiting, filtering, or traffic-routing controls.</w:t>
      </w:r>
    </w:p>
    <w:p>
      <w:pPr>
        <w:pStyle w:val="ListNumber"/>
      </w:pPr>
      <w:r>
        <w:t>Monitor service health and maintain communication with business owners.</w:t>
      </w:r>
    </w:p>
    <w:p>
      <w:pPr>
        <w:pStyle w:val="ListNumber"/>
      </w:pPr>
      <w:r>
        <w:t>After recovery, review capacity, resilience, and control gaps.</w:t>
      </w:r>
    </w:p>
    <w:p>
      <w:pPr>
        <w:pStyle w:val="Heading1"/>
      </w:pPr>
      <w:r>
        <w:t>15. Evidence Handling and Chain of Custody</w:t>
      </w:r>
    </w:p>
    <w:p>
      <w:r>
        <w:t>Digital evidence should be handled in a controlled manner. The objective is to maintain integrity, traceability, and repeatability. Responders should follow organizational and legal requirements applicable to the incident.</w:t>
      </w:r>
    </w:p>
    <w:p>
      <w:pPr>
        <w:pStyle w:val="ListBullet"/>
      </w:pPr>
      <w:r>
        <w:t>Assign a unique incident ID.</w:t>
      </w:r>
    </w:p>
    <w:p>
      <w:pPr>
        <w:pStyle w:val="ListBullet"/>
      </w:pPr>
      <w:r>
        <w:t>Record who collected each item, when it was collected, and from which system.</w:t>
      </w:r>
    </w:p>
    <w:p>
      <w:pPr>
        <w:pStyle w:val="ListBullet"/>
      </w:pPr>
      <w:r>
        <w:t>Use secure storage with access control.</w:t>
      </w:r>
    </w:p>
    <w:p>
      <w:pPr>
        <w:pStyle w:val="ListBullet"/>
      </w:pPr>
      <w:r>
        <w:t>Calculate and record hashes for collected files when appropriate.</w:t>
      </w:r>
    </w:p>
    <w:p>
      <w:pPr>
        <w:pStyle w:val="ListBullet"/>
      </w:pPr>
      <w:r>
        <w:t>Avoid unnecessary modification of original evidence.</w:t>
      </w:r>
    </w:p>
    <w:p>
      <w:pPr>
        <w:pStyle w:val="ListBullet"/>
      </w:pPr>
      <w:r>
        <w:t>Keep analysis copies separate from preserved originals.</w:t>
      </w:r>
    </w:p>
    <w:p>
      <w:pPr>
        <w:pStyle w:val="ListBullet"/>
      </w:pPr>
      <w:r>
        <w:t>Record transfers of evidence between authorized personnel.</w:t>
      </w:r>
    </w:p>
    <w:p>
      <w:pPr>
        <w:pStyle w:val="Heading1"/>
      </w:pPr>
      <w:r>
        <w:t>16. Incident Record Template</w:t>
      </w:r>
    </w:p>
    <w:tbl>
      <w:tblPr>
        <w:tblStyle w:val="TableGrid"/>
        <w:tblW w:type="auto" w:w="0"/>
        <w:tblLook w:firstColumn="1" w:firstRow="1" w:lastColumn="0" w:lastRow="0" w:noHBand="0" w:noVBand="1" w:val="04A0"/>
      </w:tblPr>
      <w:tblGrid>
        <w:gridCol w:w="4968"/>
        <w:gridCol w:w="4968"/>
      </w:tblGrid>
      <w:tr>
        <w:tc>
          <w:tcPr>
            <w:tcW w:type="dxa" w:w="4968"/>
            <w:vAlign w:val="center"/>
            <w:shd w:fill="F2F2F2"/>
          </w:tcPr>
          <w:p>
            <w:r/>
            <w:r>
              <w:rPr>
                <w:b/>
                <w:sz w:val="19"/>
              </w:rPr>
              <w:t>Incident ID:</w:t>
            </w:r>
          </w:p>
        </w:tc>
        <w:tc>
          <w:tcPr>
            <w:tcW w:type="dxa" w:w="4968"/>
            <w:vAlign w:val="center"/>
          </w:tcPr>
          <w:p>
            <w:r/>
            <w:r>
              <w:rPr>
                <w:b w:val="0"/>
                <w:sz w:val="19"/>
              </w:rPr>
            </w:r>
          </w:p>
        </w:tc>
      </w:tr>
      <w:tr>
        <w:tc>
          <w:tcPr>
            <w:tcW w:type="dxa" w:w="4968"/>
            <w:vAlign w:val="center"/>
            <w:shd w:fill="F2F2F2"/>
          </w:tcPr>
          <w:p>
            <w:r/>
            <w:r>
              <w:rPr>
                <w:b/>
                <w:sz w:val="19"/>
              </w:rPr>
              <w:t>Date/Time Detected:</w:t>
            </w:r>
          </w:p>
        </w:tc>
        <w:tc>
          <w:tcPr>
            <w:tcW w:type="dxa" w:w="4968"/>
            <w:vAlign w:val="center"/>
          </w:tcPr>
          <w:p>
            <w:r/>
            <w:r>
              <w:rPr>
                <w:b w:val="0"/>
                <w:sz w:val="19"/>
              </w:rPr>
            </w:r>
          </w:p>
        </w:tc>
      </w:tr>
      <w:tr>
        <w:tc>
          <w:tcPr>
            <w:tcW w:type="dxa" w:w="4968"/>
            <w:vAlign w:val="center"/>
            <w:shd w:fill="F2F2F2"/>
          </w:tcPr>
          <w:p>
            <w:r/>
            <w:r>
              <w:rPr>
                <w:b/>
                <w:sz w:val="19"/>
              </w:rPr>
              <w:t>Reported By:</w:t>
            </w:r>
          </w:p>
        </w:tc>
        <w:tc>
          <w:tcPr>
            <w:tcW w:type="dxa" w:w="4968"/>
            <w:vAlign w:val="center"/>
          </w:tcPr>
          <w:p>
            <w:r/>
            <w:r>
              <w:rPr>
                <w:b w:val="0"/>
                <w:sz w:val="19"/>
              </w:rPr>
            </w:r>
          </w:p>
        </w:tc>
      </w:tr>
      <w:tr>
        <w:tc>
          <w:tcPr>
            <w:tcW w:type="dxa" w:w="4968"/>
            <w:vAlign w:val="center"/>
            <w:shd w:fill="F2F2F2"/>
          </w:tcPr>
          <w:p>
            <w:r/>
            <w:r>
              <w:rPr>
                <w:b/>
                <w:sz w:val="19"/>
              </w:rPr>
              <w:t>Incident Type:</w:t>
            </w:r>
          </w:p>
        </w:tc>
        <w:tc>
          <w:tcPr>
            <w:tcW w:type="dxa" w:w="4968"/>
            <w:vAlign w:val="center"/>
          </w:tcPr>
          <w:p>
            <w:r/>
            <w:r>
              <w:rPr>
                <w:b w:val="0"/>
                <w:sz w:val="19"/>
              </w:rPr>
            </w:r>
          </w:p>
        </w:tc>
      </w:tr>
      <w:tr>
        <w:tc>
          <w:tcPr>
            <w:tcW w:type="dxa" w:w="4968"/>
            <w:vAlign w:val="center"/>
            <w:shd w:fill="F2F2F2"/>
          </w:tcPr>
          <w:p>
            <w:r/>
            <w:r>
              <w:rPr>
                <w:b/>
                <w:sz w:val="19"/>
              </w:rPr>
              <w:t>Severity:</w:t>
            </w:r>
          </w:p>
        </w:tc>
        <w:tc>
          <w:tcPr>
            <w:tcW w:type="dxa" w:w="4968"/>
            <w:vAlign w:val="center"/>
          </w:tcPr>
          <w:p>
            <w:r/>
            <w:r>
              <w:rPr>
                <w:b w:val="0"/>
                <w:sz w:val="19"/>
              </w:rPr>
            </w:r>
          </w:p>
        </w:tc>
      </w:tr>
      <w:tr>
        <w:tc>
          <w:tcPr>
            <w:tcW w:type="dxa" w:w="4968"/>
            <w:vAlign w:val="center"/>
            <w:shd w:fill="F2F2F2"/>
          </w:tcPr>
          <w:p>
            <w:r/>
            <w:r>
              <w:rPr>
                <w:b/>
                <w:sz w:val="19"/>
              </w:rPr>
              <w:t>Affected Asset(s):</w:t>
            </w:r>
          </w:p>
        </w:tc>
        <w:tc>
          <w:tcPr>
            <w:tcW w:type="dxa" w:w="4968"/>
            <w:vAlign w:val="center"/>
          </w:tcPr>
          <w:p>
            <w:r/>
            <w:r>
              <w:rPr>
                <w:b w:val="0"/>
                <w:sz w:val="19"/>
              </w:rPr>
            </w:r>
          </w:p>
        </w:tc>
      </w:tr>
      <w:tr>
        <w:tc>
          <w:tcPr>
            <w:tcW w:type="dxa" w:w="4968"/>
            <w:vAlign w:val="center"/>
            <w:shd w:fill="F2F2F2"/>
          </w:tcPr>
          <w:p>
            <w:r/>
            <w:r>
              <w:rPr>
                <w:b/>
                <w:sz w:val="19"/>
              </w:rPr>
              <w:t>Initial Indicators:</w:t>
            </w:r>
          </w:p>
        </w:tc>
        <w:tc>
          <w:tcPr>
            <w:tcW w:type="dxa" w:w="4968"/>
            <w:vAlign w:val="center"/>
          </w:tcPr>
          <w:p>
            <w:r/>
            <w:r>
              <w:rPr>
                <w:b w:val="0"/>
                <w:sz w:val="19"/>
              </w:rPr>
            </w:r>
          </w:p>
        </w:tc>
      </w:tr>
      <w:tr>
        <w:tc>
          <w:tcPr>
            <w:tcW w:type="dxa" w:w="4968"/>
            <w:vAlign w:val="center"/>
            <w:shd w:fill="F2F2F2"/>
          </w:tcPr>
          <w:p>
            <w:r/>
            <w:r>
              <w:rPr>
                <w:b/>
                <w:sz w:val="19"/>
              </w:rPr>
              <w:t>Business Impact:</w:t>
            </w:r>
          </w:p>
        </w:tc>
        <w:tc>
          <w:tcPr>
            <w:tcW w:type="dxa" w:w="4968"/>
            <w:vAlign w:val="center"/>
          </w:tcPr>
          <w:p>
            <w:r/>
            <w:r>
              <w:rPr>
                <w:b w:val="0"/>
                <w:sz w:val="19"/>
              </w:rPr>
            </w:r>
          </w:p>
        </w:tc>
      </w:tr>
      <w:tr>
        <w:tc>
          <w:tcPr>
            <w:tcW w:type="dxa" w:w="4968"/>
            <w:vAlign w:val="center"/>
            <w:shd w:fill="F2F2F2"/>
          </w:tcPr>
          <w:p>
            <w:r/>
            <w:r>
              <w:rPr>
                <w:b/>
                <w:sz w:val="19"/>
              </w:rPr>
              <w:t>Containment Actions:</w:t>
            </w:r>
          </w:p>
        </w:tc>
        <w:tc>
          <w:tcPr>
            <w:tcW w:type="dxa" w:w="4968"/>
            <w:vAlign w:val="center"/>
          </w:tcPr>
          <w:p>
            <w:r/>
            <w:r>
              <w:rPr>
                <w:b w:val="0"/>
                <w:sz w:val="19"/>
              </w:rPr>
            </w:r>
          </w:p>
        </w:tc>
      </w:tr>
      <w:tr>
        <w:tc>
          <w:tcPr>
            <w:tcW w:type="dxa" w:w="4968"/>
            <w:vAlign w:val="center"/>
            <w:shd w:fill="F2F2F2"/>
          </w:tcPr>
          <w:p>
            <w:r/>
            <w:r>
              <w:rPr>
                <w:b/>
                <w:sz w:val="19"/>
              </w:rPr>
              <w:t>Evidence Collected:</w:t>
            </w:r>
          </w:p>
        </w:tc>
        <w:tc>
          <w:tcPr>
            <w:tcW w:type="dxa" w:w="4968"/>
            <w:vAlign w:val="center"/>
          </w:tcPr>
          <w:p>
            <w:r/>
            <w:r>
              <w:rPr>
                <w:b w:val="0"/>
                <w:sz w:val="19"/>
              </w:rPr>
            </w:r>
          </w:p>
        </w:tc>
      </w:tr>
      <w:tr>
        <w:tc>
          <w:tcPr>
            <w:tcW w:type="dxa" w:w="4968"/>
            <w:vAlign w:val="center"/>
            <w:shd w:fill="F2F2F2"/>
          </w:tcPr>
          <w:p>
            <w:r/>
            <w:r>
              <w:rPr>
                <w:b/>
                <w:sz w:val="19"/>
              </w:rPr>
              <w:t>Root Cause / Suspected Cause:</w:t>
            </w:r>
          </w:p>
        </w:tc>
        <w:tc>
          <w:tcPr>
            <w:tcW w:type="dxa" w:w="4968"/>
            <w:vAlign w:val="center"/>
          </w:tcPr>
          <w:p>
            <w:r/>
            <w:r>
              <w:rPr>
                <w:b w:val="0"/>
                <w:sz w:val="19"/>
              </w:rPr>
            </w:r>
          </w:p>
        </w:tc>
      </w:tr>
      <w:tr>
        <w:tc>
          <w:tcPr>
            <w:tcW w:type="dxa" w:w="4968"/>
            <w:vAlign w:val="center"/>
            <w:shd w:fill="F2F2F2"/>
          </w:tcPr>
          <w:p>
            <w:r/>
            <w:r>
              <w:rPr>
                <w:b/>
                <w:sz w:val="19"/>
              </w:rPr>
              <w:t>Eradication Actions:</w:t>
            </w:r>
          </w:p>
        </w:tc>
        <w:tc>
          <w:tcPr>
            <w:tcW w:type="dxa" w:w="4968"/>
            <w:vAlign w:val="center"/>
          </w:tcPr>
          <w:p>
            <w:r/>
            <w:r>
              <w:rPr>
                <w:b w:val="0"/>
                <w:sz w:val="19"/>
              </w:rPr>
            </w:r>
          </w:p>
        </w:tc>
      </w:tr>
      <w:tr>
        <w:tc>
          <w:tcPr>
            <w:tcW w:type="dxa" w:w="4968"/>
            <w:vAlign w:val="center"/>
            <w:shd w:fill="F2F2F2"/>
          </w:tcPr>
          <w:p>
            <w:r/>
            <w:r>
              <w:rPr>
                <w:b/>
                <w:sz w:val="19"/>
              </w:rPr>
              <w:t>Recovery Actions:</w:t>
            </w:r>
          </w:p>
        </w:tc>
        <w:tc>
          <w:tcPr>
            <w:tcW w:type="dxa" w:w="4968"/>
            <w:vAlign w:val="center"/>
          </w:tcPr>
          <w:p>
            <w:r/>
            <w:r>
              <w:rPr>
                <w:b w:val="0"/>
                <w:sz w:val="19"/>
              </w:rPr>
            </w:r>
          </w:p>
        </w:tc>
      </w:tr>
      <w:tr>
        <w:tc>
          <w:tcPr>
            <w:tcW w:type="dxa" w:w="4968"/>
            <w:vAlign w:val="center"/>
            <w:shd w:fill="F2F2F2"/>
          </w:tcPr>
          <w:p>
            <w:r/>
            <w:r>
              <w:rPr>
                <w:b/>
                <w:sz w:val="19"/>
              </w:rPr>
              <w:t>Notifications / Escalations:</w:t>
            </w:r>
          </w:p>
        </w:tc>
        <w:tc>
          <w:tcPr>
            <w:tcW w:type="dxa" w:w="4968"/>
            <w:vAlign w:val="center"/>
          </w:tcPr>
          <w:p>
            <w:r/>
            <w:r>
              <w:rPr>
                <w:b w:val="0"/>
                <w:sz w:val="19"/>
              </w:rPr>
            </w:r>
          </w:p>
        </w:tc>
      </w:tr>
      <w:tr>
        <w:tc>
          <w:tcPr>
            <w:tcW w:type="dxa" w:w="4968"/>
            <w:vAlign w:val="center"/>
            <w:shd w:fill="F2F2F2"/>
          </w:tcPr>
          <w:p>
            <w:r/>
            <w:r>
              <w:rPr>
                <w:b/>
                <w:sz w:val="19"/>
              </w:rPr>
              <w:t>Final Status:</w:t>
            </w:r>
          </w:p>
        </w:tc>
        <w:tc>
          <w:tcPr>
            <w:tcW w:type="dxa" w:w="4968"/>
            <w:vAlign w:val="center"/>
          </w:tcPr>
          <w:p>
            <w:r/>
            <w:r>
              <w:rPr>
                <w:b w:val="0"/>
                <w:sz w:val="19"/>
              </w:rPr>
            </w:r>
          </w:p>
        </w:tc>
      </w:tr>
      <w:tr>
        <w:tc>
          <w:tcPr>
            <w:tcW w:type="dxa" w:w="4968"/>
            <w:vAlign w:val="center"/>
            <w:shd w:fill="F2F2F2"/>
          </w:tcPr>
          <w:p>
            <w:r/>
            <w:r>
              <w:rPr>
                <w:b/>
                <w:sz w:val="19"/>
              </w:rPr>
              <w:t>Incident Lead Approval:</w:t>
            </w:r>
          </w:p>
        </w:tc>
        <w:tc>
          <w:tcPr>
            <w:tcW w:type="dxa" w:w="4968"/>
            <w:vAlign w:val="center"/>
          </w:tcPr>
          <w:p>
            <w:r/>
            <w:r>
              <w:rPr>
                <w:b w:val="0"/>
                <w:sz w:val="19"/>
              </w:rPr>
            </w:r>
          </w:p>
        </w:tc>
      </w:tr>
    </w:tbl>
    <w:p>
      <w:pPr>
        <w:pStyle w:val="Heading1"/>
      </w:pPr>
      <w:r>
        <w:t>17. Incident Response Metrics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Metric</w:t>
            </w:r>
          </w:p>
        </w:tc>
        <w:tc>
          <w:tcPr>
            <w:tcW w:type="dxa" w:w="4968"/>
            <w:vAlign w:val="center"/>
            <w:shd w:fill="D9EAF7"/>
          </w:tcPr>
          <w:p>
            <w:r/>
            <w:r>
              <w:rPr>
                <w:b/>
                <w:sz w:val="19"/>
              </w:rPr>
              <w:t>Purpose</w:t>
            </w:r>
          </w:p>
        </w:tc>
      </w:tr>
      <w:tr>
        <w:tc>
          <w:tcPr>
            <w:tcW w:type="dxa" w:w="4968"/>
            <w:vAlign w:val="center"/>
          </w:tcPr>
          <w:p>
            <w:r/>
            <w:r>
              <w:rPr>
                <w:b/>
                <w:sz w:val="19"/>
              </w:rPr>
              <w:t>MTTD – Mean Time to Detect</w:t>
            </w:r>
          </w:p>
        </w:tc>
        <w:tc>
          <w:tcPr>
            <w:tcW w:type="dxa" w:w="4968"/>
            <w:vAlign w:val="center"/>
          </w:tcPr>
          <w:p>
            <w:r/>
            <w:r>
              <w:rPr>
                <w:b w:val="0"/>
                <w:sz w:val="19"/>
              </w:rPr>
              <w:t>Average time between suspicious activity and detection.</w:t>
            </w:r>
          </w:p>
        </w:tc>
      </w:tr>
      <w:tr>
        <w:tc>
          <w:tcPr>
            <w:tcW w:type="dxa" w:w="4968"/>
            <w:vAlign w:val="center"/>
          </w:tcPr>
          <w:p>
            <w:r/>
            <w:r>
              <w:rPr>
                <w:b/>
                <w:sz w:val="19"/>
              </w:rPr>
              <w:t>MTTA – Mean Time to Acknowledge</w:t>
            </w:r>
          </w:p>
        </w:tc>
        <w:tc>
          <w:tcPr>
            <w:tcW w:type="dxa" w:w="4968"/>
            <w:vAlign w:val="center"/>
          </w:tcPr>
          <w:p>
            <w:r/>
            <w:r>
              <w:rPr>
                <w:b w:val="0"/>
                <w:sz w:val="19"/>
              </w:rPr>
              <w:t>Average time between alert generation and responder acknowledgement.</w:t>
            </w:r>
          </w:p>
        </w:tc>
      </w:tr>
      <w:tr>
        <w:tc>
          <w:tcPr>
            <w:tcW w:type="dxa" w:w="4968"/>
            <w:vAlign w:val="center"/>
          </w:tcPr>
          <w:p>
            <w:r/>
            <w:r>
              <w:rPr>
                <w:b/>
                <w:sz w:val="19"/>
              </w:rPr>
              <w:t>MTTC – Mean Time to Contain</w:t>
            </w:r>
          </w:p>
        </w:tc>
        <w:tc>
          <w:tcPr>
            <w:tcW w:type="dxa" w:w="4968"/>
            <w:vAlign w:val="center"/>
          </w:tcPr>
          <w:p>
            <w:r/>
            <w:r>
              <w:rPr>
                <w:b w:val="0"/>
                <w:sz w:val="19"/>
              </w:rPr>
              <w:t>Average time required to prevent further spread or impact.</w:t>
            </w:r>
          </w:p>
        </w:tc>
      </w:tr>
      <w:tr>
        <w:tc>
          <w:tcPr>
            <w:tcW w:type="dxa" w:w="4968"/>
            <w:vAlign w:val="center"/>
          </w:tcPr>
          <w:p>
            <w:r/>
            <w:r>
              <w:rPr>
                <w:b/>
                <w:sz w:val="19"/>
              </w:rPr>
              <w:t>MTTR – Mean Time to Recover</w:t>
            </w:r>
          </w:p>
        </w:tc>
        <w:tc>
          <w:tcPr>
            <w:tcW w:type="dxa" w:w="4968"/>
            <w:vAlign w:val="center"/>
          </w:tcPr>
          <w:p>
            <w:r/>
            <w:r>
              <w:rPr>
                <w:b w:val="0"/>
                <w:sz w:val="19"/>
              </w:rPr>
              <w:t>Average time required to restore affected services securely.</w:t>
            </w:r>
          </w:p>
        </w:tc>
      </w:tr>
      <w:tr>
        <w:tc>
          <w:tcPr>
            <w:tcW w:type="dxa" w:w="4968"/>
            <w:vAlign w:val="center"/>
          </w:tcPr>
          <w:p>
            <w:r/>
            <w:r>
              <w:rPr>
                <w:b/>
                <w:sz w:val="19"/>
              </w:rPr>
              <w:t>Repeat Incident Rate</w:t>
            </w:r>
          </w:p>
        </w:tc>
        <w:tc>
          <w:tcPr>
            <w:tcW w:type="dxa" w:w="4968"/>
            <w:vAlign w:val="center"/>
          </w:tcPr>
          <w:p>
            <w:r/>
            <w:r>
              <w:rPr>
                <w:b w:val="0"/>
                <w:sz w:val="19"/>
              </w:rPr>
              <w:t>Percentage of incidents recurring due to unresolved root causes.</w:t>
            </w:r>
          </w:p>
        </w:tc>
      </w:tr>
      <w:tr>
        <w:tc>
          <w:tcPr>
            <w:tcW w:type="dxa" w:w="4968"/>
            <w:vAlign w:val="center"/>
          </w:tcPr>
          <w:p>
            <w:r/>
            <w:r>
              <w:rPr>
                <w:b/>
                <w:sz w:val="19"/>
              </w:rPr>
              <w:t>Evidence Completeness</w:t>
            </w:r>
          </w:p>
        </w:tc>
        <w:tc>
          <w:tcPr>
            <w:tcW w:type="dxa" w:w="4968"/>
            <w:vAlign w:val="center"/>
          </w:tcPr>
          <w:p>
            <w:r/>
            <w:r>
              <w:rPr>
                <w:b w:val="0"/>
                <w:sz w:val="19"/>
              </w:rPr>
              <w:t>Percentage of required evidence fields/items properly documented.</w:t>
            </w:r>
          </w:p>
        </w:tc>
      </w:tr>
      <w:tr>
        <w:tc>
          <w:tcPr>
            <w:tcW w:type="dxa" w:w="4968"/>
            <w:vAlign w:val="center"/>
          </w:tcPr>
          <w:p>
            <w:r/>
            <w:r>
              <w:rPr>
                <w:b/>
                <w:sz w:val="19"/>
              </w:rPr>
              <w:t>Playbook Effectiveness</w:t>
            </w:r>
          </w:p>
        </w:tc>
        <w:tc>
          <w:tcPr>
            <w:tcW w:type="dxa" w:w="4968"/>
            <w:vAlign w:val="center"/>
          </w:tcPr>
          <w:p>
            <w:r/>
            <w:r>
              <w:rPr>
                <w:b w:val="0"/>
                <w:sz w:val="19"/>
              </w:rPr>
              <w:t>Percentage of planned response steps completed successfully during exercises/incidents.</w:t>
            </w:r>
          </w:p>
        </w:tc>
      </w:tr>
    </w:tbl>
    <w:p>
      <w:pPr>
        <w:pStyle w:val="Heading1"/>
      </w:pPr>
      <w:r>
        <w:t>18. Post-Incident Review and Lessons Learned</w:t>
      </w:r>
    </w:p>
    <w:p>
      <w:pPr>
        <w:pStyle w:val="ListBullet"/>
      </w:pPr>
      <w:r>
        <w:t>Create a timeline of important events and response actions.</w:t>
      </w:r>
    </w:p>
    <w:p>
      <w:pPr>
        <w:pStyle w:val="ListBullet"/>
      </w:pPr>
      <w:r>
        <w:t>Identify the initial attack vector and root cause where evidence supports the conclusion.</w:t>
      </w:r>
    </w:p>
    <w:p>
      <w:pPr>
        <w:pStyle w:val="ListBullet"/>
      </w:pPr>
      <w:r>
        <w:t>Assess what controls worked and what controls failed or were missing.</w:t>
      </w:r>
    </w:p>
    <w:p>
      <w:pPr>
        <w:pStyle w:val="ListBullet"/>
      </w:pPr>
      <w:r>
        <w:t>Review whether detection, containment, communication, and recovery targets were achieved.</w:t>
      </w:r>
    </w:p>
    <w:p>
      <w:pPr>
        <w:pStyle w:val="ListBullet"/>
      </w:pPr>
      <w:r>
        <w:t>Document business impact, technical impact, and recovery costs where available.</w:t>
      </w:r>
    </w:p>
    <w:p>
      <w:pPr>
        <w:pStyle w:val="ListBullet"/>
      </w:pPr>
      <w:r>
        <w:t>Create corrective and preventive actions with owners and due dates.</w:t>
      </w:r>
    </w:p>
    <w:p>
      <w:pPr>
        <w:pStyle w:val="ListBullet"/>
      </w:pPr>
      <w:r>
        <w:t>Update playbooks, monitoring rules, training, access controls, and security architecture as needed.</w:t>
      </w:r>
    </w:p>
    <w:p>
      <w:pPr>
        <w:pStyle w:val="ListBullet"/>
      </w:pPr>
      <w:r>
        <w:t>Conduct a follow-up review to verify that corrective actions were completed.</w:t>
      </w:r>
    </w:p>
    <w:p>
      <w:pPr>
        <w:pStyle w:val="Heading1"/>
      </w:pPr>
      <w:r>
        <w:t>19. Project Work Plan – 32 Hours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9"/>
              </w:rPr>
              <w:t>Activity</w:t>
            </w:r>
          </w:p>
        </w:tc>
        <w:tc>
          <w:tcPr>
            <w:tcW w:type="dxa" w:w="3312"/>
            <w:vAlign w:val="center"/>
            <w:shd w:fill="D9EAF7"/>
          </w:tcPr>
          <w:p>
            <w:r/>
            <w:r>
              <w:rPr>
                <w:b/>
                <w:sz w:val="19"/>
              </w:rPr>
              <w:t>Hours</w:t>
            </w:r>
          </w:p>
        </w:tc>
        <w:tc>
          <w:tcPr>
            <w:tcW w:type="dxa" w:w="3312"/>
            <w:vAlign w:val="center"/>
            <w:shd w:fill="D9EAF7"/>
          </w:tcPr>
          <w:p>
            <w:r/>
            <w:r>
              <w:rPr>
                <w:b/>
                <w:sz w:val="19"/>
              </w:rPr>
              <w:t>Deliverable / Outcome</w:t>
            </w:r>
          </w:p>
        </w:tc>
      </w:tr>
      <w:tr>
        <w:tc>
          <w:tcPr>
            <w:tcW w:type="dxa" w:w="3312"/>
            <w:vAlign w:val="center"/>
          </w:tcPr>
          <w:p>
            <w:r/>
            <w:r>
              <w:rPr>
                <w:b w:val="0"/>
                <w:sz w:val="19"/>
              </w:rPr>
              <w:t>Requirement analysis and task understanding</w:t>
            </w:r>
          </w:p>
        </w:tc>
        <w:tc>
          <w:tcPr>
            <w:tcW w:type="dxa" w:w="3312"/>
            <w:vAlign w:val="center"/>
          </w:tcPr>
          <w:p>
            <w:r/>
            <w:r>
              <w:rPr>
                <w:b/>
                <w:sz w:val="19"/>
              </w:rPr>
              <w:t>2</w:t>
            </w:r>
          </w:p>
        </w:tc>
        <w:tc>
          <w:tcPr>
            <w:tcW w:type="dxa" w:w="3312"/>
            <w:vAlign w:val="center"/>
          </w:tcPr>
          <w:p>
            <w:r/>
            <w:r>
              <w:rPr>
                <w:b w:val="0"/>
                <w:sz w:val="19"/>
              </w:rPr>
              <w:t>Review task objective, scope, expected deliverable, and evaluation criteria.</w:t>
            </w:r>
          </w:p>
        </w:tc>
      </w:tr>
      <w:tr>
        <w:tc>
          <w:tcPr>
            <w:tcW w:type="dxa" w:w="3312"/>
            <w:vAlign w:val="center"/>
          </w:tcPr>
          <w:p>
            <w:r/>
            <w:r>
              <w:rPr>
                <w:b w:val="0"/>
                <w:sz w:val="19"/>
              </w:rPr>
              <w:t>Incident response research</w:t>
            </w:r>
          </w:p>
        </w:tc>
        <w:tc>
          <w:tcPr>
            <w:tcW w:type="dxa" w:w="3312"/>
            <w:vAlign w:val="center"/>
          </w:tcPr>
          <w:p>
            <w:r/>
            <w:r>
              <w:rPr>
                <w:b/>
                <w:sz w:val="19"/>
              </w:rPr>
              <w:t>5</w:t>
            </w:r>
          </w:p>
        </w:tc>
        <w:tc>
          <w:tcPr>
            <w:tcW w:type="dxa" w:w="3312"/>
            <w:vAlign w:val="center"/>
          </w:tcPr>
          <w:p>
            <w:r/>
            <w:r>
              <w:rPr>
                <w:b w:val="0"/>
                <w:sz w:val="19"/>
              </w:rPr>
              <w:t>Study incident-response lifecycle, roles, evidence handling, and practical best practices.</w:t>
            </w:r>
          </w:p>
        </w:tc>
      </w:tr>
      <w:tr>
        <w:tc>
          <w:tcPr>
            <w:tcW w:type="dxa" w:w="3312"/>
            <w:vAlign w:val="center"/>
          </w:tcPr>
          <w:p>
            <w:r/>
            <w:r>
              <w:rPr>
                <w:b w:val="0"/>
                <w:sz w:val="19"/>
              </w:rPr>
              <w:t>Threat and incident scenario analysis</w:t>
            </w:r>
          </w:p>
        </w:tc>
        <w:tc>
          <w:tcPr>
            <w:tcW w:type="dxa" w:w="3312"/>
            <w:vAlign w:val="center"/>
          </w:tcPr>
          <w:p>
            <w:r/>
            <w:r>
              <w:rPr>
                <w:b/>
                <w:sz w:val="19"/>
              </w:rPr>
              <w:t>4</w:t>
            </w:r>
          </w:p>
        </w:tc>
        <w:tc>
          <w:tcPr>
            <w:tcW w:type="dxa" w:w="3312"/>
            <w:vAlign w:val="center"/>
          </w:tcPr>
          <w:p>
            <w:r/>
            <w:r>
              <w:rPr>
                <w:b w:val="0"/>
                <w:sz w:val="19"/>
              </w:rPr>
              <w:t>Analyze phishing, malware/ransomware, account compromise, data breach, and availability incidents.</w:t>
            </w:r>
          </w:p>
        </w:tc>
      </w:tr>
      <w:tr>
        <w:tc>
          <w:tcPr>
            <w:tcW w:type="dxa" w:w="3312"/>
            <w:vAlign w:val="center"/>
          </w:tcPr>
          <w:p>
            <w:r/>
            <w:r>
              <w:rPr>
                <w:b w:val="0"/>
                <w:sz w:val="19"/>
              </w:rPr>
              <w:t>Plan architecture and workflow design</w:t>
            </w:r>
          </w:p>
        </w:tc>
        <w:tc>
          <w:tcPr>
            <w:tcW w:type="dxa" w:w="3312"/>
            <w:vAlign w:val="center"/>
          </w:tcPr>
          <w:p>
            <w:r/>
            <w:r>
              <w:rPr>
                <w:b/>
                <w:sz w:val="19"/>
              </w:rPr>
              <w:t>4</w:t>
            </w:r>
          </w:p>
        </w:tc>
        <w:tc>
          <w:tcPr>
            <w:tcW w:type="dxa" w:w="3312"/>
            <w:vAlign w:val="center"/>
          </w:tcPr>
          <w:p>
            <w:r/>
            <w:r>
              <w:rPr>
                <w:b w:val="0"/>
                <w:sz w:val="19"/>
              </w:rPr>
              <w:t>Design lifecycle, escalation matrix, responsibilities, and decision points.</w:t>
            </w:r>
          </w:p>
        </w:tc>
      </w:tr>
      <w:tr>
        <w:tc>
          <w:tcPr>
            <w:tcW w:type="dxa" w:w="3312"/>
            <w:vAlign w:val="center"/>
          </w:tcPr>
          <w:p>
            <w:r/>
            <w:r>
              <w:rPr>
                <w:b w:val="0"/>
                <w:sz w:val="19"/>
              </w:rPr>
              <w:t>Detailed IRP drafting</w:t>
            </w:r>
          </w:p>
        </w:tc>
        <w:tc>
          <w:tcPr>
            <w:tcW w:type="dxa" w:w="3312"/>
            <w:vAlign w:val="center"/>
          </w:tcPr>
          <w:p>
            <w:r/>
            <w:r>
              <w:rPr>
                <w:b/>
                <w:sz w:val="19"/>
              </w:rPr>
              <w:t>7</w:t>
            </w:r>
          </w:p>
        </w:tc>
        <w:tc>
          <w:tcPr>
            <w:tcW w:type="dxa" w:w="3312"/>
            <w:vAlign w:val="center"/>
          </w:tcPr>
          <w:p>
            <w:r/>
            <w:r>
              <w:rPr>
                <w:b w:val="0"/>
                <w:sz w:val="19"/>
              </w:rPr>
              <w:t>Write preparation, detection, containment, eradication, recovery, communication, and evidence procedures.</w:t>
            </w:r>
          </w:p>
        </w:tc>
      </w:tr>
      <w:tr>
        <w:tc>
          <w:tcPr>
            <w:tcW w:type="dxa" w:w="3312"/>
            <w:vAlign w:val="center"/>
          </w:tcPr>
          <w:p>
            <w:r/>
            <w:r>
              <w:rPr>
                <w:b w:val="0"/>
                <w:sz w:val="19"/>
              </w:rPr>
              <w:t>Playbook and checklist development</w:t>
            </w:r>
          </w:p>
        </w:tc>
        <w:tc>
          <w:tcPr>
            <w:tcW w:type="dxa" w:w="3312"/>
            <w:vAlign w:val="center"/>
          </w:tcPr>
          <w:p>
            <w:r/>
            <w:r>
              <w:rPr>
                <w:b/>
                <w:sz w:val="19"/>
              </w:rPr>
              <w:t>3</w:t>
            </w:r>
          </w:p>
        </w:tc>
        <w:tc>
          <w:tcPr>
            <w:tcW w:type="dxa" w:w="3312"/>
            <w:vAlign w:val="center"/>
          </w:tcPr>
          <w:p>
            <w:r/>
            <w:r>
              <w:rPr>
                <w:b w:val="0"/>
                <w:sz w:val="19"/>
              </w:rPr>
              <w:t>Create incident-specific response checklists and incident record template.</w:t>
            </w:r>
          </w:p>
        </w:tc>
      </w:tr>
      <w:tr>
        <w:tc>
          <w:tcPr>
            <w:tcW w:type="dxa" w:w="3312"/>
            <w:vAlign w:val="center"/>
          </w:tcPr>
          <w:p>
            <w:r/>
            <w:r>
              <w:rPr>
                <w:b w:val="0"/>
                <w:sz w:val="19"/>
              </w:rPr>
              <w:t>Review, feasibility and consistency checks</w:t>
            </w:r>
          </w:p>
        </w:tc>
        <w:tc>
          <w:tcPr>
            <w:tcW w:type="dxa" w:w="3312"/>
            <w:vAlign w:val="center"/>
          </w:tcPr>
          <w:p>
            <w:r/>
            <w:r>
              <w:rPr>
                <w:b/>
                <w:sz w:val="19"/>
              </w:rPr>
              <w:t>3</w:t>
            </w:r>
          </w:p>
        </w:tc>
        <w:tc>
          <w:tcPr>
            <w:tcW w:type="dxa" w:w="3312"/>
            <w:vAlign w:val="center"/>
          </w:tcPr>
          <w:p>
            <w:r/>
            <w:r>
              <w:rPr>
                <w:b w:val="0"/>
                <w:sz w:val="19"/>
              </w:rPr>
              <w:t>Check clarity, practicality, missing controls, escalation logic, and documentation quality.</w:t>
            </w:r>
          </w:p>
        </w:tc>
      </w:tr>
      <w:tr>
        <w:tc>
          <w:tcPr>
            <w:tcW w:type="dxa" w:w="3312"/>
            <w:vAlign w:val="center"/>
          </w:tcPr>
          <w:p>
            <w:r/>
            <w:r>
              <w:rPr>
                <w:b w:val="0"/>
                <w:sz w:val="19"/>
              </w:rPr>
              <w:t>Formatting, final editing and submission preparation</w:t>
            </w:r>
          </w:p>
        </w:tc>
        <w:tc>
          <w:tcPr>
            <w:tcW w:type="dxa" w:w="3312"/>
            <w:vAlign w:val="center"/>
          </w:tcPr>
          <w:p>
            <w:r/>
            <w:r>
              <w:rPr>
                <w:b/>
                <w:sz w:val="19"/>
              </w:rPr>
              <w:t>4</w:t>
            </w:r>
          </w:p>
        </w:tc>
        <w:tc>
          <w:tcPr>
            <w:tcW w:type="dxa" w:w="3312"/>
            <w:vAlign w:val="center"/>
          </w:tcPr>
          <w:p>
            <w:r/>
            <w:r>
              <w:rPr>
                <w:b w:val="0"/>
                <w:sz w:val="19"/>
              </w:rPr>
              <w:t>Professional document formatting, proofreading, final structure, and submission-ready packaging.</w:t>
            </w:r>
          </w:p>
        </w:tc>
      </w:tr>
      <w:tr>
        <w:tc>
          <w:tcPr>
            <w:tcW w:type="dxa" w:w="3312"/>
            <w:vAlign w:val="center"/>
            <w:shd w:fill="EDEDED"/>
          </w:tcPr>
          <w:p>
            <w:r/>
            <w:r>
              <w:rPr>
                <w:b/>
                <w:sz w:val="19"/>
              </w:rPr>
              <w:t>TOTAL</w:t>
            </w:r>
          </w:p>
        </w:tc>
        <w:tc>
          <w:tcPr>
            <w:tcW w:type="dxa" w:w="3312"/>
            <w:vAlign w:val="center"/>
            <w:shd w:fill="EDEDED"/>
          </w:tcPr>
          <w:p>
            <w:r/>
            <w:r>
              <w:rPr>
                <w:b/>
                <w:sz w:val="19"/>
              </w:rPr>
              <w:t>32</w:t>
            </w:r>
          </w:p>
        </w:tc>
        <w:tc>
          <w:tcPr>
            <w:tcW w:type="dxa" w:w="3312"/>
            <w:vAlign w:val="center"/>
            <w:shd w:fill="EDEDED"/>
          </w:tcPr>
          <w:p>
            <w:r/>
            <w:r>
              <w:rPr>
                <w:b/>
                <w:sz w:val="19"/>
              </w:rPr>
              <w:t>Estimated project effort</w:t>
            </w:r>
          </w:p>
        </w:tc>
      </w:tr>
    </w:tbl>
    <w:p>
      <w:pPr>
        <w:pStyle w:val="Heading1"/>
      </w:pPr>
      <w:r>
        <w:t>20. Feasibility and Implementation Considerations</w:t>
      </w:r>
    </w:p>
    <w:p>
      <w:r>
        <w:t>The plan is designed to be scalable. A small organization can implement the workflow with a limited security team and managed security services, while a larger organization can map each responsibility to specialized SOC, DFIR, network, cloud, legal, and business continuity teams.</w:t>
      </w:r>
    </w:p>
    <w:p>
      <w:pPr>
        <w:pStyle w:val="ListBullet"/>
      </w:pPr>
      <w:r>
        <w:t>Start with a simple incident ticketing and evidence-recording process.</w:t>
      </w:r>
    </w:p>
    <w:p>
      <w:pPr>
        <w:pStyle w:val="ListBullet"/>
      </w:pPr>
      <w:r>
        <w:t>Prioritize logging for identity, endpoint, network, email, cloud, and critical applications.</w:t>
      </w:r>
    </w:p>
    <w:p>
      <w:pPr>
        <w:pStyle w:val="ListBullet"/>
      </w:pPr>
      <w:r>
        <w:t>Test backups and restoration instead of assuming that backups are usable.</w:t>
      </w:r>
    </w:p>
    <w:p>
      <w:pPr>
        <w:pStyle w:val="ListBullet"/>
      </w:pPr>
      <w:r>
        <w:t>Run tabletop exercises for high-impact scenarios.</w:t>
      </w:r>
    </w:p>
    <w:p>
      <w:pPr>
        <w:pStyle w:val="ListBullet"/>
      </w:pPr>
      <w:r>
        <w:t>Review contact lists regularly so escalation does not depend on outdated information.</w:t>
      </w:r>
    </w:p>
    <w:p>
      <w:pPr>
        <w:pStyle w:val="ListBullet"/>
      </w:pPr>
      <w:r>
        <w:t>Automate repetitive containment and enrichment actions only after they are tested and governed.</w:t>
      </w:r>
    </w:p>
    <w:p>
      <w:pPr>
        <w:pStyle w:val="ListBullet"/>
      </w:pPr>
      <w:r>
        <w:t>Keep the plan version-controlled and review it after major technology or organizational changes.</w:t>
      </w:r>
    </w:p>
    <w:p>
      <w:pPr>
        <w:pStyle w:val="Heading1"/>
      </w:pPr>
      <w:r>
        <w:t>21. Tabletop Exercise Scenario</w:t>
      </w:r>
    </w:p>
    <w:p>
      <w:r>
        <w:t>Scenario: A finance employee reports that their account received an unexpected multi-factor authentication request. Shortly afterward, the security team observes a successful login from an unusual location and a suspicious email forwarding rule. The team must determine whether the account has been compromised.</w:t>
      </w:r>
    </w:p>
    <w:p>
      <w:pPr>
        <w:pStyle w:val="ListNumber"/>
      </w:pPr>
      <w:r>
        <w:t>Triage the alert and validate the authentication events.</w:t>
      </w:r>
    </w:p>
    <w:p>
      <w:pPr>
        <w:pStyle w:val="ListNumber"/>
      </w:pPr>
      <w:r>
        <w:t>Identify the account, devices, IP addresses, and time window involved.</w:t>
      </w:r>
    </w:p>
    <w:p>
      <w:pPr>
        <w:pStyle w:val="ListNumber"/>
      </w:pPr>
      <w:r>
        <w:t>Secure the account and revoke suspicious sessions.</w:t>
      </w:r>
    </w:p>
    <w:p>
      <w:pPr>
        <w:pStyle w:val="ListNumber"/>
      </w:pPr>
      <w:r>
        <w:t>Review mailbox activity and forwarding rules.</w:t>
      </w:r>
    </w:p>
    <w:p>
      <w:pPr>
        <w:pStyle w:val="ListNumber"/>
      </w:pPr>
      <w:r>
        <w:t>Search for additional affected accounts and indicators.</w:t>
      </w:r>
    </w:p>
    <w:p>
      <w:pPr>
        <w:pStyle w:val="ListNumber"/>
      </w:pPr>
      <w:r>
        <w:t>Assess whether data access or exfiltration occurred.</w:t>
      </w:r>
    </w:p>
    <w:p>
      <w:pPr>
        <w:pStyle w:val="ListNumber"/>
      </w:pPr>
      <w:r>
        <w:t>Document escalation and communication decisions.</w:t>
      </w:r>
    </w:p>
    <w:p>
      <w:pPr>
        <w:pStyle w:val="ListNumber"/>
      </w:pPr>
      <w:r>
        <w:t>Restore the account only after security validation.</w:t>
      </w:r>
    </w:p>
    <w:p>
      <w:pPr>
        <w:pStyle w:val="ListNumber"/>
      </w:pPr>
      <w:r>
        <w:t>Record lessons learned and required control improvements.</w:t>
      </w:r>
    </w:p>
    <w:p>
      <w:pPr>
        <w:pStyle w:val="Heading1"/>
      </w:pPr>
      <w:r>
        <w:t>22. Conclusion</w:t>
      </w:r>
    </w:p>
    <w:p>
      <w:r>
        <w:t>A well-defined Incident Response Plan helps an organization respond to cybersecurity incidents in a structured and measurable way. The most important elements are preparation, rapid and accurate analysis, controlled containment, complete eradication, secure recovery, effective communication, evidence preservation, and continuous improvement.</w:t>
      </w:r>
    </w:p>
    <w:p>
      <w:r>
        <w:t>This report provides a practical framework that can be adapted to different organizational sizes and technologies. Regular exercises, updated contact information, tested backups, centralized logging, security monitoring, and clear ownership are essential for turning the written plan into an effective operational capability.</w:t>
      </w:r>
    </w:p>
    <w:p>
      <w:pPr>
        <w:pStyle w:val="Heading1"/>
      </w:pPr>
      <w:r>
        <w:t>23. References / Further Reading</w:t>
      </w:r>
    </w:p>
    <w:p>
      <w:pPr>
        <w:pStyle w:val="ListBullet"/>
      </w:pPr>
      <w:r>
        <w:t>NIST Special Publication 800-61 – Computer Security Incident Handling Guide.</w:t>
      </w:r>
    </w:p>
    <w:p>
      <w:pPr>
        <w:pStyle w:val="ListBullet"/>
      </w:pPr>
      <w:r>
        <w:t>NIST Cybersecurity Framework – Identify, Protect, Detect, Respond, Recover concepts.</w:t>
      </w:r>
    </w:p>
    <w:p>
      <w:pPr>
        <w:pStyle w:val="ListBullet"/>
      </w:pPr>
      <w:r>
        <w:t>ISO/IEC 27035 – Information security incident management guidance.</w:t>
      </w:r>
    </w:p>
    <w:p>
      <w:pPr>
        <w:pStyle w:val="ListBullet"/>
      </w:pPr>
      <w:r>
        <w:t>CISA – Cybersecurity incident response and ransomware guidance.</w:t>
      </w:r>
    </w:p>
    <w:p>
      <w:pPr>
        <w:pStyle w:val="ListBullet"/>
      </w:pPr>
      <w:r>
        <w:t>MITRE ATT&amp;CK – Knowledge base for adversary tactics and techniques.</w:t>
      </w:r>
    </w:p>
    <w:p>
      <w:pPr>
        <w:pStyle w:val="Heading1"/>
      </w:pPr>
      <w:r>
        <w:t>24. Final Submission Checklist</w:t>
      </w:r>
    </w:p>
    <w:p>
      <w:r>
        <w:t>☐ Incident response objective and scope are clearly defined.</w:t>
      </w:r>
    </w:p>
    <w:p>
      <w:r>
        <w:t>☐ Roles and responsibilities are documented.</w:t>
      </w:r>
    </w:p>
    <w:p>
      <w:r>
        <w:t>☐ Incident severity and escalation process are included.</w:t>
      </w:r>
    </w:p>
    <w:p>
      <w:r>
        <w:t>☐ Detection and analysis steps are documented.</w:t>
      </w:r>
    </w:p>
    <w:p>
      <w:r>
        <w:t>☐ Containment, eradication, and recovery procedures are included.</w:t>
      </w:r>
    </w:p>
    <w:p>
      <w:r>
        <w:t>☐ Evidence handling and documentation requirements are included.</w:t>
      </w:r>
    </w:p>
    <w:p>
      <w:r>
        <w:t>☐ Incident-specific playbooks are provided.</w:t>
      </w:r>
    </w:p>
    <w:p>
      <w:r>
        <w:t>☐ Communication and escalation procedures are included.</w:t>
      </w:r>
    </w:p>
    <w:p>
      <w:r>
        <w:t>☐ Metrics and post-incident review are defined.</w:t>
      </w:r>
    </w:p>
    <w:p>
      <w:r>
        <w:t>☐ 32-hour project effort plan is included.</w:t>
      </w:r>
    </w:p>
    <w:p>
      <w:r>
        <w:t>☐ Document has been reviewed for clarity and consistency.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Incident Response Plan – Week 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