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C320" w14:textId="28E993FB" w:rsidR="00353C4D" w:rsidRPr="00D52BA3" w:rsidRDefault="00353C4D" w:rsidP="00D52BA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52BA3">
        <w:rPr>
          <w:rFonts w:ascii="Times New Roman" w:hAnsi="Times New Roman" w:cs="Times New Roman"/>
          <w:b/>
          <w:bCs/>
          <w:lang w:val="en-US"/>
        </w:rPr>
        <w:t>Theorectical</w:t>
      </w:r>
      <w:proofErr w:type="spellEnd"/>
      <w:r w:rsidRPr="00D52BA3">
        <w:rPr>
          <w:rFonts w:ascii="Times New Roman" w:hAnsi="Times New Roman" w:cs="Times New Roman"/>
          <w:b/>
          <w:bCs/>
          <w:lang w:val="en-US"/>
        </w:rPr>
        <w:t xml:space="preserve"> part</w:t>
      </w:r>
      <w:r w:rsidR="00BD7F91" w:rsidRPr="00D52BA3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24E977E" w14:textId="77777777" w:rsidR="00353C4D" w:rsidRPr="00D52BA3" w:rsidRDefault="00353C4D" w:rsidP="00D52BA3">
      <w:pPr>
        <w:jc w:val="both"/>
        <w:rPr>
          <w:rFonts w:ascii="Times New Roman" w:hAnsi="Times New Roman" w:cs="Times New Roman"/>
          <w:lang w:val="en-US"/>
        </w:rPr>
      </w:pPr>
    </w:p>
    <w:p w14:paraId="46B73813" w14:textId="4A5DCBCB" w:rsidR="00353C4D" w:rsidRPr="00D52BA3" w:rsidRDefault="00353C4D" w:rsidP="00D52B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 xml:space="preserve">Blockchain </w:t>
      </w: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Basics :</w:t>
      </w:r>
      <w:proofErr w:type="gramEnd"/>
    </w:p>
    <w:p w14:paraId="30DAE0FA" w14:textId="77777777" w:rsidR="00FC0DA0" w:rsidRPr="00D52BA3" w:rsidRDefault="00FC0DA0" w:rsidP="00D52BA3">
      <w:pPr>
        <w:jc w:val="both"/>
        <w:rPr>
          <w:rFonts w:ascii="Times New Roman" w:hAnsi="Times New Roman" w:cs="Times New Roman"/>
          <w:lang w:val="en-US"/>
        </w:rPr>
      </w:pPr>
    </w:p>
    <w:p w14:paraId="5F774751" w14:textId="0F0EF5FD" w:rsidR="00353C4D" w:rsidRPr="00D52BA3" w:rsidRDefault="00353C4D" w:rsidP="00D52B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 xml:space="preserve">Define blockchain in your own </w:t>
      </w: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words .</w:t>
      </w:r>
      <w:proofErr w:type="gramEnd"/>
    </w:p>
    <w:p w14:paraId="40049FA3" w14:textId="33177B8D" w:rsidR="00AF0C5C" w:rsidRPr="00D52BA3" w:rsidRDefault="00AF0C5C" w:rsidP="00D52BA3">
      <w:pPr>
        <w:jc w:val="both"/>
        <w:rPr>
          <w:rFonts w:ascii="Times New Roman" w:hAnsi="Times New Roman" w:cs="Times New Roman"/>
          <w:lang w:val="en-US"/>
        </w:rPr>
      </w:pPr>
      <w:r w:rsidRPr="00D52BA3">
        <w:rPr>
          <w:rFonts w:ascii="Times New Roman" w:hAnsi="Times New Roman" w:cs="Times New Roman"/>
          <w:lang w:val="en-US"/>
        </w:rPr>
        <w:t xml:space="preserve">        </w:t>
      </w:r>
      <w:r w:rsidR="00353C4D" w:rsidRPr="00D52BA3">
        <w:rPr>
          <w:rFonts w:ascii="Times New Roman" w:hAnsi="Times New Roman" w:cs="Times New Roman"/>
          <w:lang w:val="en-US"/>
        </w:rPr>
        <w:t xml:space="preserve">Blockchain is a decentralized, distributed digital ledger technology that records </w:t>
      </w:r>
      <w:r w:rsidRPr="00D52BA3">
        <w:rPr>
          <w:rFonts w:ascii="Times New Roman" w:hAnsi="Times New Roman" w:cs="Times New Roman"/>
          <w:lang w:val="en-US"/>
        </w:rPr>
        <w:t xml:space="preserve">                                   </w:t>
      </w:r>
      <w:r w:rsidR="00FC0DA0" w:rsidRPr="00D52BA3">
        <w:rPr>
          <w:rFonts w:ascii="Times New Roman" w:hAnsi="Times New Roman" w:cs="Times New Roman"/>
          <w:lang w:val="en-US"/>
        </w:rPr>
        <w:t xml:space="preserve">                </w:t>
      </w:r>
      <w:r w:rsidR="00353C4D" w:rsidRPr="00D52BA3">
        <w:rPr>
          <w:rFonts w:ascii="Times New Roman" w:hAnsi="Times New Roman" w:cs="Times New Roman"/>
          <w:lang w:val="en-US"/>
        </w:rPr>
        <w:t xml:space="preserve">transaction across </w:t>
      </w:r>
      <w:r w:rsidRPr="00D52BA3">
        <w:rPr>
          <w:rFonts w:ascii="Times New Roman" w:hAnsi="Times New Roman" w:cs="Times New Roman"/>
          <w:lang w:val="en-US"/>
        </w:rPr>
        <w:t xml:space="preserve">multiple </w:t>
      </w:r>
      <w:proofErr w:type="gramStart"/>
      <w:r w:rsidRPr="00D52BA3">
        <w:rPr>
          <w:rFonts w:ascii="Times New Roman" w:hAnsi="Times New Roman" w:cs="Times New Roman"/>
          <w:lang w:val="en-US"/>
        </w:rPr>
        <w:t>computer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in a secure, transparent, and immutable manner.</w:t>
      </w:r>
      <w:r w:rsidR="00FC0DA0" w:rsidRPr="00D52BA3">
        <w:rPr>
          <w:rFonts w:ascii="Times New Roman" w:hAnsi="Times New Roman" w:cs="Times New Roman"/>
          <w:lang w:val="en-US"/>
        </w:rPr>
        <w:t xml:space="preserve"> </w:t>
      </w:r>
      <w:r w:rsidRPr="00D52BA3">
        <w:rPr>
          <w:rFonts w:ascii="Times New Roman" w:hAnsi="Times New Roman" w:cs="Times New Roman"/>
          <w:lang w:val="en-US"/>
        </w:rPr>
        <w:t>Each record, called a block, contain a list of transaction and is linked to the previous block using cryptographic hashes, forming a chain.</w:t>
      </w:r>
    </w:p>
    <w:p w14:paraId="2962AA01" w14:textId="6BF690FB" w:rsidR="00AF0C5C" w:rsidRPr="00D52BA3" w:rsidRDefault="00AF0C5C" w:rsidP="00D52BA3">
      <w:pPr>
        <w:jc w:val="both"/>
        <w:rPr>
          <w:rFonts w:ascii="Times New Roman" w:hAnsi="Times New Roman" w:cs="Times New Roman"/>
          <w:lang w:val="en-US"/>
        </w:rPr>
      </w:pPr>
      <w:r w:rsidRPr="00D52BA3">
        <w:rPr>
          <w:rFonts w:ascii="Times New Roman" w:hAnsi="Times New Roman" w:cs="Times New Roman"/>
          <w:lang w:val="en-US"/>
        </w:rPr>
        <w:t xml:space="preserve">This Structure ensures that once data is recorded, it cannot be altered without altering all subsequent blocks, making it highly secure. Blockchain eliminates they need for a central authority, enabling trustless interactions among participants. It is widely used in cryptocurrencies like bitcoin and </w:t>
      </w:r>
      <w:proofErr w:type="spellStart"/>
      <w:r w:rsidRPr="00D52BA3">
        <w:rPr>
          <w:rFonts w:ascii="Times New Roman" w:hAnsi="Times New Roman" w:cs="Times New Roman"/>
          <w:lang w:val="en-US"/>
        </w:rPr>
        <w:t>etherum</w:t>
      </w:r>
      <w:proofErr w:type="spellEnd"/>
      <w:r w:rsidR="00FC0DA0" w:rsidRPr="00D52BA3">
        <w:rPr>
          <w:rFonts w:ascii="Times New Roman" w:hAnsi="Times New Roman" w:cs="Times New Roman"/>
          <w:lang w:val="en-US"/>
        </w:rPr>
        <w:t xml:space="preserve"> </w:t>
      </w:r>
    </w:p>
    <w:p w14:paraId="31F0C3DF" w14:textId="77777777" w:rsidR="00FC0DA0" w:rsidRPr="00D52BA3" w:rsidRDefault="00FC0DA0" w:rsidP="00D52BA3">
      <w:pPr>
        <w:jc w:val="both"/>
        <w:rPr>
          <w:rFonts w:ascii="Times New Roman" w:hAnsi="Times New Roman" w:cs="Times New Roman"/>
          <w:lang w:val="en-US"/>
        </w:rPr>
      </w:pPr>
    </w:p>
    <w:p w14:paraId="48121A09" w14:textId="47B6A65B" w:rsidR="00FC0DA0" w:rsidRPr="00D52BA3" w:rsidRDefault="00FC0DA0" w:rsidP="00D52B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>List 2 real life use cases.</w:t>
      </w:r>
    </w:p>
    <w:p w14:paraId="7553BC80" w14:textId="75D1F2C5" w:rsidR="00FC0DA0" w:rsidRPr="00D52BA3" w:rsidRDefault="00FC0DA0" w:rsidP="00D52BA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 xml:space="preserve"> Cross-border </w:t>
      </w: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 xml:space="preserve">Payment </w:t>
      </w:r>
      <w:r w:rsidR="00D52BA3"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4CE793DD" w14:textId="00B9F2DB" w:rsidR="00BD7F91" w:rsidRPr="00D52BA3" w:rsidRDefault="00FC0DA0" w:rsidP="00D52BA3">
      <w:pPr>
        <w:jc w:val="both"/>
        <w:rPr>
          <w:rFonts w:ascii="Times New Roman" w:hAnsi="Times New Roman" w:cs="Times New Roman"/>
          <w:lang w:val="en-US"/>
        </w:rPr>
      </w:pPr>
      <w:r w:rsidRPr="00D52BA3">
        <w:rPr>
          <w:rFonts w:ascii="Times New Roman" w:hAnsi="Times New Roman" w:cs="Times New Roman"/>
          <w:lang w:val="en-US"/>
        </w:rPr>
        <w:t xml:space="preserve">Companies Like ripple and </w:t>
      </w:r>
      <w:proofErr w:type="spellStart"/>
      <w:r w:rsidRPr="00D52BA3">
        <w:rPr>
          <w:rFonts w:ascii="Times New Roman" w:hAnsi="Times New Roman" w:cs="Times New Roman"/>
          <w:lang w:val="en-US"/>
        </w:rPr>
        <w:t>steller</w:t>
      </w:r>
      <w:proofErr w:type="spellEnd"/>
      <w:r w:rsidRPr="00D52BA3">
        <w:rPr>
          <w:rFonts w:ascii="Times New Roman" w:hAnsi="Times New Roman" w:cs="Times New Roman"/>
          <w:lang w:val="en-US"/>
        </w:rPr>
        <w:t xml:space="preserve"> use blockchain to facilitate fast, low-cost international money </w:t>
      </w:r>
      <w:proofErr w:type="spellStart"/>
      <w:r w:rsidRPr="00D52BA3">
        <w:rPr>
          <w:rFonts w:ascii="Times New Roman" w:hAnsi="Times New Roman" w:cs="Times New Roman"/>
          <w:lang w:val="en-US"/>
        </w:rPr>
        <w:t>tranfers</w:t>
      </w:r>
      <w:proofErr w:type="spellEnd"/>
      <w:r w:rsidRPr="00D52BA3">
        <w:rPr>
          <w:rFonts w:ascii="Times New Roman" w:hAnsi="Times New Roman" w:cs="Times New Roman"/>
          <w:lang w:val="en-US"/>
        </w:rPr>
        <w:t xml:space="preserve">, bypassing traditional </w:t>
      </w:r>
      <w:r w:rsidR="00BD7F91" w:rsidRPr="00D52BA3">
        <w:rPr>
          <w:rFonts w:ascii="Times New Roman" w:hAnsi="Times New Roman" w:cs="Times New Roman"/>
          <w:lang w:val="en-US"/>
        </w:rPr>
        <w:t>banks and reducing transaction fees and time.</w:t>
      </w:r>
    </w:p>
    <w:p w14:paraId="55ABAC40" w14:textId="14E37A27" w:rsidR="00BD7F91" w:rsidRPr="00D52BA3" w:rsidRDefault="00BD7F91" w:rsidP="00D52BA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>Voting System</w:t>
      </w:r>
      <w:r w:rsidR="00D52BA3">
        <w:rPr>
          <w:rFonts w:ascii="Times New Roman" w:hAnsi="Times New Roman" w:cs="Times New Roman"/>
          <w:b/>
          <w:bCs/>
          <w:lang w:val="en-US"/>
        </w:rPr>
        <w:t>:</w:t>
      </w:r>
    </w:p>
    <w:p w14:paraId="6D6A86E5" w14:textId="0CB10E24" w:rsidR="00BD7F91" w:rsidRPr="00D52BA3" w:rsidRDefault="00BD7F91" w:rsidP="00D52BA3">
      <w:pPr>
        <w:jc w:val="both"/>
        <w:rPr>
          <w:rFonts w:ascii="Times New Roman" w:hAnsi="Times New Roman" w:cs="Times New Roman"/>
          <w:lang w:val="en-US"/>
        </w:rPr>
      </w:pPr>
      <w:r w:rsidRPr="00D52BA3">
        <w:rPr>
          <w:rFonts w:ascii="Times New Roman" w:hAnsi="Times New Roman" w:cs="Times New Roman"/>
          <w:lang w:val="en-US"/>
        </w:rPr>
        <w:t xml:space="preserve">Blockchain is used to develop secure, transparent voting system. For example, </w:t>
      </w:r>
      <w:proofErr w:type="spellStart"/>
      <w:r w:rsidRPr="00D52BA3">
        <w:rPr>
          <w:rFonts w:ascii="Times New Roman" w:hAnsi="Times New Roman" w:cs="Times New Roman"/>
          <w:lang w:val="en-US"/>
        </w:rPr>
        <w:t>voatz</w:t>
      </w:r>
      <w:proofErr w:type="spellEnd"/>
      <w:r w:rsidRPr="00D52BA3">
        <w:rPr>
          <w:rFonts w:ascii="Times New Roman" w:hAnsi="Times New Roman" w:cs="Times New Roman"/>
          <w:lang w:val="en-US"/>
        </w:rPr>
        <w:t xml:space="preserve"> has been tested in some U.S states for overseas and military voters, aiming to Prevent fraud and increase vote trust.</w:t>
      </w:r>
    </w:p>
    <w:p w14:paraId="17E4208A" w14:textId="77777777" w:rsidR="00BD7F91" w:rsidRPr="00D52BA3" w:rsidRDefault="00BD7F91" w:rsidP="00D52BA3">
      <w:pPr>
        <w:jc w:val="both"/>
        <w:rPr>
          <w:rFonts w:ascii="Times New Roman" w:hAnsi="Times New Roman" w:cs="Times New Roman"/>
          <w:lang w:val="en-US"/>
        </w:rPr>
      </w:pPr>
    </w:p>
    <w:p w14:paraId="4FC5359C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206C5945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37644D70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55DE3A7E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70EB2CFA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1331E155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7CC63EAB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49AA0BC3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4C33439A" w14:textId="77777777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</w:p>
    <w:p w14:paraId="413AE9D6" w14:textId="0B628365" w:rsidR="00BD7F91" w:rsidRPr="00D52BA3" w:rsidRDefault="00BD7F91" w:rsidP="00D52B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lastRenderedPageBreak/>
        <w:t>Block Anatomy:</w:t>
      </w:r>
    </w:p>
    <w:p w14:paraId="746A9837" w14:textId="77777777" w:rsidR="009741E6" w:rsidRPr="00D52BA3" w:rsidRDefault="009741E6" w:rsidP="00D52BA3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771FFB" w14:textId="72B78DAE" w:rsidR="00BD7F91" w:rsidRPr="00D52BA3" w:rsidRDefault="004C750D" w:rsidP="00D52BA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 xml:space="preserve">Draw a block Showing: data, previous hash, timestamp, nonce, and </w:t>
      </w:r>
      <w:proofErr w:type="spellStart"/>
      <w:r w:rsidRPr="00D52BA3">
        <w:rPr>
          <w:rFonts w:ascii="Times New Roman" w:hAnsi="Times New Roman" w:cs="Times New Roman"/>
          <w:b/>
          <w:bCs/>
          <w:lang w:val="en-US"/>
        </w:rPr>
        <w:t>merkle</w:t>
      </w:r>
      <w:proofErr w:type="spellEnd"/>
      <w:r w:rsidRPr="00D52BA3">
        <w:rPr>
          <w:rFonts w:ascii="Times New Roman" w:hAnsi="Times New Roman" w:cs="Times New Roman"/>
          <w:b/>
          <w:bCs/>
          <w:lang w:val="en-US"/>
        </w:rPr>
        <w:t xml:space="preserve"> root.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340"/>
      </w:tblGrid>
      <w:tr w:rsidR="00CA089F" w:rsidRPr="00D52BA3" w14:paraId="7B8ADBFA" w14:textId="77777777" w:rsidTr="00CA089F">
        <w:trPr>
          <w:trHeight w:val="538"/>
        </w:trPr>
        <w:tc>
          <w:tcPr>
            <w:tcW w:w="7340" w:type="dxa"/>
          </w:tcPr>
          <w:p w14:paraId="7E436BC8" w14:textId="09A2A4CB" w:rsidR="00CA089F" w:rsidRPr="00D52BA3" w:rsidRDefault="00CA089F" w:rsidP="00D52B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2BA3">
              <w:rPr>
                <w:rFonts w:ascii="Times New Roman" w:hAnsi="Times New Roman" w:cs="Times New Roman"/>
                <w:b/>
                <w:bCs/>
                <w:lang w:val="en-US"/>
              </w:rPr>
              <w:t>Block</w:t>
            </w:r>
          </w:p>
        </w:tc>
      </w:tr>
      <w:tr w:rsidR="00CA089F" w:rsidRPr="00D52BA3" w14:paraId="4A88F2AB" w14:textId="77777777" w:rsidTr="00CA089F">
        <w:trPr>
          <w:trHeight w:val="538"/>
        </w:trPr>
        <w:tc>
          <w:tcPr>
            <w:tcW w:w="7340" w:type="dxa"/>
          </w:tcPr>
          <w:p w14:paraId="56DBD50B" w14:textId="0003266D" w:rsidR="00CA089F" w:rsidRPr="00D52BA3" w:rsidRDefault="00CA089F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Timestamp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2025-06-</w:t>
            </w: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09  12:00:00</w:t>
            </w:r>
            <w:proofErr w:type="gramEnd"/>
          </w:p>
        </w:tc>
      </w:tr>
      <w:tr w:rsidR="00CA089F" w:rsidRPr="00D52BA3" w14:paraId="652AEAD5" w14:textId="77777777" w:rsidTr="00CA089F">
        <w:trPr>
          <w:trHeight w:val="515"/>
        </w:trPr>
        <w:tc>
          <w:tcPr>
            <w:tcW w:w="7340" w:type="dxa"/>
          </w:tcPr>
          <w:p w14:paraId="593F1C3B" w14:textId="68078C1A" w:rsidR="00CA089F" w:rsidRPr="00D52BA3" w:rsidRDefault="00CA089F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52BA3">
              <w:rPr>
                <w:rFonts w:ascii="Times New Roman" w:hAnsi="Times New Roman" w:cs="Times New Roman"/>
                <w:lang w:val="en-US"/>
              </w:rPr>
              <w:t xml:space="preserve">Previous </w:t>
            </w: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hash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3f2a8c3a9d8b4e6a…</w:t>
            </w:r>
          </w:p>
        </w:tc>
      </w:tr>
      <w:tr w:rsidR="00CA089F" w:rsidRPr="00D52BA3" w14:paraId="286D5133" w14:textId="77777777" w:rsidTr="00CA089F">
        <w:trPr>
          <w:trHeight w:val="538"/>
        </w:trPr>
        <w:tc>
          <w:tcPr>
            <w:tcW w:w="7340" w:type="dxa"/>
          </w:tcPr>
          <w:p w14:paraId="0E6A8B43" w14:textId="581D6A13" w:rsidR="00CA089F" w:rsidRPr="00D52BA3" w:rsidRDefault="00CA089F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Nonce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84726</w:t>
            </w:r>
          </w:p>
        </w:tc>
      </w:tr>
      <w:tr w:rsidR="00CA089F" w:rsidRPr="00D52BA3" w14:paraId="06A16D9D" w14:textId="77777777" w:rsidTr="00CA089F">
        <w:trPr>
          <w:trHeight w:val="538"/>
        </w:trPr>
        <w:tc>
          <w:tcPr>
            <w:tcW w:w="7340" w:type="dxa"/>
          </w:tcPr>
          <w:p w14:paraId="5FC43E93" w14:textId="0BEE5C88" w:rsidR="00CA089F" w:rsidRPr="00D52BA3" w:rsidRDefault="00CA089F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52BA3">
              <w:rPr>
                <w:rFonts w:ascii="Times New Roman" w:hAnsi="Times New Roman" w:cs="Times New Roman"/>
                <w:lang w:val="en-US"/>
              </w:rPr>
              <w:t xml:space="preserve">Merkle </w:t>
            </w: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root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e9d1f3b24a2c6f9b…</w:t>
            </w:r>
          </w:p>
        </w:tc>
      </w:tr>
      <w:tr w:rsidR="00CA089F" w:rsidRPr="00D52BA3" w14:paraId="389EA074" w14:textId="77777777" w:rsidTr="00CA089F">
        <w:trPr>
          <w:trHeight w:val="538"/>
        </w:trPr>
        <w:tc>
          <w:tcPr>
            <w:tcW w:w="7340" w:type="dxa"/>
          </w:tcPr>
          <w:p w14:paraId="13E2CD6C" w14:textId="77777777" w:rsidR="00CA089F" w:rsidRPr="00D52BA3" w:rsidRDefault="00CA089F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Data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1C5C0E7" w14:textId="77777777" w:rsidR="009741E6" w:rsidRPr="00D52BA3" w:rsidRDefault="009741E6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DA59043" w14:textId="68EF7B85" w:rsidR="009741E6" w:rsidRPr="00D52BA3" w:rsidRDefault="009741E6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52BA3">
              <w:rPr>
                <w:rFonts w:ascii="Times New Roman" w:hAnsi="Times New Roman" w:cs="Times New Roman"/>
                <w:lang w:val="en-US"/>
              </w:rPr>
              <w:t xml:space="preserve">          _ Transaction 1: Muskan - </w:t>
            </w: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Riya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$ 500</w:t>
            </w:r>
          </w:p>
          <w:p w14:paraId="1FFE584A" w14:textId="77777777" w:rsidR="009741E6" w:rsidRPr="00D52BA3" w:rsidRDefault="009741E6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52BA3">
              <w:rPr>
                <w:rFonts w:ascii="Times New Roman" w:hAnsi="Times New Roman" w:cs="Times New Roman"/>
                <w:lang w:val="en-US"/>
              </w:rPr>
              <w:t xml:space="preserve">          _ Transaction 2: Rahul – Akshay: $200</w:t>
            </w:r>
          </w:p>
          <w:p w14:paraId="40DEB1AA" w14:textId="77777777" w:rsidR="009741E6" w:rsidRPr="00D52BA3" w:rsidRDefault="009741E6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52BA3">
              <w:rPr>
                <w:rFonts w:ascii="Times New Roman" w:hAnsi="Times New Roman" w:cs="Times New Roman"/>
                <w:lang w:val="en-US"/>
              </w:rPr>
              <w:t xml:space="preserve">          _ Transaction 3: Eve – </w:t>
            </w: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Piyush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$750</w:t>
            </w:r>
          </w:p>
          <w:p w14:paraId="545E16D4" w14:textId="416AFFA8" w:rsidR="009741E6" w:rsidRPr="00D52BA3" w:rsidRDefault="009741E6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52BA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A089F" w:rsidRPr="00D52BA3" w14:paraId="1FE85116" w14:textId="77777777" w:rsidTr="00CA089F">
        <w:trPr>
          <w:trHeight w:val="538"/>
        </w:trPr>
        <w:tc>
          <w:tcPr>
            <w:tcW w:w="7340" w:type="dxa"/>
          </w:tcPr>
          <w:p w14:paraId="0E384629" w14:textId="3CF1E2DB" w:rsidR="00CA089F" w:rsidRPr="00D52BA3" w:rsidRDefault="009741E6" w:rsidP="00D52B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52BA3">
              <w:rPr>
                <w:rFonts w:ascii="Times New Roman" w:hAnsi="Times New Roman" w:cs="Times New Roman"/>
                <w:lang w:val="en-US"/>
              </w:rPr>
              <w:t>Hash :</w:t>
            </w:r>
            <w:proofErr w:type="gramEnd"/>
            <w:r w:rsidRPr="00D52BA3">
              <w:rPr>
                <w:rFonts w:ascii="Times New Roman" w:hAnsi="Times New Roman" w:cs="Times New Roman"/>
                <w:lang w:val="en-US"/>
              </w:rPr>
              <w:t xml:space="preserve"> 7e5a1f3d7b9c6e8a…</w:t>
            </w:r>
          </w:p>
        </w:tc>
      </w:tr>
    </w:tbl>
    <w:p w14:paraId="0BB3A324" w14:textId="77777777" w:rsidR="004C750D" w:rsidRPr="00D52BA3" w:rsidRDefault="004C750D" w:rsidP="00D52BA3">
      <w:pPr>
        <w:jc w:val="both"/>
        <w:rPr>
          <w:rFonts w:ascii="Times New Roman" w:hAnsi="Times New Roman" w:cs="Times New Roman"/>
          <w:lang w:val="en-US"/>
        </w:rPr>
      </w:pPr>
    </w:p>
    <w:p w14:paraId="421A3E30" w14:textId="21C7CFBF" w:rsidR="00BD7F91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Explanation</w:t>
      </w:r>
      <w:r w:rsidRPr="00D52BA3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A838DBF" w14:textId="44917938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Timestamp</w:t>
      </w:r>
      <w:r w:rsidRPr="00D52B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Where the Block was Created.</w:t>
      </w:r>
    </w:p>
    <w:p w14:paraId="0830966B" w14:textId="1AF64114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 xml:space="preserve">Previous </w:t>
      </w: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Hash :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Hash of the previous block in the chain </w:t>
      </w:r>
      <w:proofErr w:type="gramStart"/>
      <w:r w:rsidRPr="00D52BA3">
        <w:rPr>
          <w:rFonts w:ascii="Times New Roman" w:hAnsi="Times New Roman" w:cs="Times New Roman"/>
          <w:lang w:val="en-US"/>
        </w:rPr>
        <w:t>( links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blocks together).</w:t>
      </w:r>
    </w:p>
    <w:p w14:paraId="3D5F9508" w14:textId="3CE809EA" w:rsidR="009741E6" w:rsidRPr="00D52BA3" w:rsidRDefault="009741E6" w:rsidP="00D52BA3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 xml:space="preserve">Nonce </w:t>
      </w:r>
      <w:r w:rsidRPr="00D52BA3">
        <w:rPr>
          <w:rFonts w:ascii="Times New Roman" w:hAnsi="Times New Roman" w:cs="Times New Roman"/>
          <w:lang w:val="en-US"/>
        </w:rPr>
        <w:t>: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</w:t>
      </w:r>
      <w:r w:rsidR="00053B8A" w:rsidRPr="00D52BA3">
        <w:rPr>
          <w:rFonts w:ascii="Times New Roman" w:hAnsi="Times New Roman" w:cs="Times New Roman"/>
          <w:lang w:val="en-US"/>
        </w:rPr>
        <w:t>Number that miners change to find a valid hash.</w:t>
      </w:r>
    </w:p>
    <w:p w14:paraId="71C07702" w14:textId="350D972C" w:rsidR="00053B8A" w:rsidRPr="00D52BA3" w:rsidRDefault="00053B8A" w:rsidP="00D52BA3">
      <w:pPr>
        <w:jc w:val="both"/>
        <w:rPr>
          <w:rFonts w:ascii="Times New Roman" w:hAnsi="Times New Roman" w:cs="Times New Roman"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 xml:space="preserve">Merkle </w:t>
      </w: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root</w:t>
      </w:r>
      <w:r w:rsidRPr="00D52B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A single hash that represents all transaction (Used for integrity)</w:t>
      </w:r>
    </w:p>
    <w:p w14:paraId="2D6E0939" w14:textId="338D18D6" w:rsidR="00053B8A" w:rsidRPr="00D52BA3" w:rsidRDefault="00053B8A" w:rsidP="00D52BA3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 xml:space="preserve">Data </w:t>
      </w:r>
      <w:r w:rsidRPr="00D52BA3">
        <w:rPr>
          <w:rFonts w:ascii="Times New Roman" w:hAnsi="Times New Roman" w:cs="Times New Roman"/>
          <w:lang w:val="en-US"/>
        </w:rPr>
        <w:t>: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Transaction or records stored in this </w:t>
      </w:r>
      <w:proofErr w:type="gramStart"/>
      <w:r w:rsidRPr="00D52BA3">
        <w:rPr>
          <w:rFonts w:ascii="Times New Roman" w:hAnsi="Times New Roman" w:cs="Times New Roman"/>
          <w:lang w:val="en-US"/>
        </w:rPr>
        <w:t>block .</w:t>
      </w:r>
      <w:proofErr w:type="gramEnd"/>
    </w:p>
    <w:p w14:paraId="2FB9F51E" w14:textId="165F6954" w:rsidR="00053B8A" w:rsidRPr="00D52BA3" w:rsidRDefault="00053B8A" w:rsidP="00D52BA3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D52BA3">
        <w:rPr>
          <w:rFonts w:ascii="Times New Roman" w:hAnsi="Times New Roman" w:cs="Times New Roman"/>
          <w:b/>
          <w:bCs/>
          <w:lang w:val="en-US"/>
        </w:rPr>
        <w:t>Hash</w:t>
      </w:r>
      <w:r w:rsidRPr="00D52BA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52BA3">
        <w:rPr>
          <w:rFonts w:ascii="Times New Roman" w:hAnsi="Times New Roman" w:cs="Times New Roman"/>
          <w:lang w:val="en-US"/>
        </w:rPr>
        <w:t xml:space="preserve"> The resulting hash of the current block after combining all fields.</w:t>
      </w:r>
    </w:p>
    <w:p w14:paraId="6D360F59" w14:textId="77777777" w:rsidR="007C39DC" w:rsidRPr="00D52BA3" w:rsidRDefault="007C39DC" w:rsidP="00D52BA3">
      <w:pPr>
        <w:jc w:val="both"/>
        <w:rPr>
          <w:rFonts w:ascii="Times New Roman" w:hAnsi="Times New Roman" w:cs="Times New Roman"/>
          <w:lang w:val="en-US"/>
        </w:rPr>
      </w:pPr>
    </w:p>
    <w:p w14:paraId="05FAAF5C" w14:textId="77777777" w:rsidR="007C39DC" w:rsidRPr="00D52BA3" w:rsidRDefault="007C39DC" w:rsidP="00D52BA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52BA3">
        <w:rPr>
          <w:rFonts w:ascii="Times New Roman" w:hAnsi="Times New Roman" w:cs="Times New Roman"/>
          <w:b/>
          <w:bCs/>
          <w:lang w:val="en-US"/>
        </w:rPr>
        <w:t>Briefly explain with an example how the Merkle root helps verify data integrity.</w:t>
      </w:r>
    </w:p>
    <w:p w14:paraId="2BF835A4" w14:textId="338E9161" w:rsidR="007C39DC" w:rsidRPr="007C39DC" w:rsidRDefault="007C39DC" w:rsidP="00D52BA3">
      <w:pPr>
        <w:jc w:val="both"/>
        <w:rPr>
          <w:rFonts w:ascii="Times New Roman" w:hAnsi="Times New Roman" w:cs="Times New Roman"/>
          <w:lang w:val="en-US"/>
        </w:rPr>
      </w:pPr>
      <w:r w:rsidRPr="007C39DC">
        <w:rPr>
          <w:rFonts w:ascii="Times New Roman" w:hAnsi="Times New Roman" w:cs="Times New Roman"/>
        </w:rPr>
        <w:t>Merkle Root is a single hash value that represents all the transactions in a block. It's derived by repeatedly hashing pairs of transaction hashes until only one final hash remains — this is the Merkle Root.</w:t>
      </w:r>
    </w:p>
    <w:p w14:paraId="56676AB9" w14:textId="7F6C0E5A" w:rsidR="007C39DC" w:rsidRPr="007C39DC" w:rsidRDefault="007C39DC" w:rsidP="00D52BA3">
      <w:pPr>
        <w:jc w:val="both"/>
        <w:rPr>
          <w:rFonts w:ascii="Times New Roman" w:hAnsi="Times New Roman" w:cs="Times New Roman"/>
          <w:b/>
          <w:bCs/>
        </w:rPr>
      </w:pPr>
      <w:r w:rsidRPr="007C39DC">
        <w:rPr>
          <w:rFonts w:ascii="Times New Roman" w:hAnsi="Times New Roman" w:cs="Times New Roman"/>
          <w:b/>
          <w:bCs/>
        </w:rPr>
        <w:t xml:space="preserve"> Why It Helps in Data Integrity:</w:t>
      </w:r>
    </w:p>
    <w:p w14:paraId="58761B0A" w14:textId="77777777" w:rsidR="007C39DC" w:rsidRPr="007C39DC" w:rsidRDefault="007C39DC" w:rsidP="00D52BA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  <w:b/>
          <w:bCs/>
        </w:rPr>
        <w:t>Efficient Verification</w:t>
      </w:r>
      <w:r w:rsidRPr="007C39DC">
        <w:rPr>
          <w:rFonts w:ascii="Times New Roman" w:hAnsi="Times New Roman" w:cs="Times New Roman"/>
        </w:rPr>
        <w:t>: You don’t need to download the entire block to verify a transaction — just the transaction and a few hashes (called a Merkle Proof).</w:t>
      </w:r>
    </w:p>
    <w:p w14:paraId="45F834AF" w14:textId="77777777" w:rsidR="007C39DC" w:rsidRPr="007C39DC" w:rsidRDefault="007C39DC" w:rsidP="00D52BA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  <w:b/>
          <w:bCs/>
        </w:rPr>
        <w:lastRenderedPageBreak/>
        <w:t>Tamper Detection</w:t>
      </w:r>
      <w:r w:rsidRPr="007C39DC">
        <w:rPr>
          <w:rFonts w:ascii="Times New Roman" w:hAnsi="Times New Roman" w:cs="Times New Roman"/>
        </w:rPr>
        <w:t>: If any transaction changes, the Merkle root also changes. This helps detect any tampering instantly.</w:t>
      </w:r>
    </w:p>
    <w:p w14:paraId="41AA150E" w14:textId="22303EC5" w:rsidR="007C39DC" w:rsidRPr="007C39DC" w:rsidRDefault="007C39DC" w:rsidP="00D52BA3">
      <w:p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  <w:b/>
          <w:bCs/>
        </w:rPr>
        <w:t>Example:</w:t>
      </w:r>
    </w:p>
    <w:p w14:paraId="34F69F04" w14:textId="77777777" w:rsidR="007C39DC" w:rsidRPr="007C39DC" w:rsidRDefault="007C39DC" w:rsidP="00D52BA3">
      <w:p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Assume 4 transactions in a block:</w:t>
      </w:r>
    </w:p>
    <w:p w14:paraId="743F29A0" w14:textId="77777777" w:rsidR="007C39DC" w:rsidRPr="007C39DC" w:rsidRDefault="007C39DC" w:rsidP="00D52BA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Tx1 → Hash1</w:t>
      </w:r>
    </w:p>
    <w:p w14:paraId="362CE2C6" w14:textId="77777777" w:rsidR="007C39DC" w:rsidRPr="007C39DC" w:rsidRDefault="007C39DC" w:rsidP="00D52BA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Tx2 → Hash2</w:t>
      </w:r>
    </w:p>
    <w:p w14:paraId="7304A550" w14:textId="77777777" w:rsidR="007C39DC" w:rsidRPr="007C39DC" w:rsidRDefault="007C39DC" w:rsidP="00D52BA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Tx3 → Hash3</w:t>
      </w:r>
    </w:p>
    <w:p w14:paraId="1446D0AC" w14:textId="77777777" w:rsidR="007C39DC" w:rsidRPr="007C39DC" w:rsidRDefault="007C39DC" w:rsidP="00D52BA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Tx4 → Hash4</w:t>
      </w:r>
    </w:p>
    <w:p w14:paraId="7BC00B75" w14:textId="77777777" w:rsidR="007C39DC" w:rsidRPr="007C39DC" w:rsidRDefault="007C39DC" w:rsidP="00D52BA3">
      <w:p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Now pair them and hash:</w:t>
      </w:r>
    </w:p>
    <w:p w14:paraId="11847175" w14:textId="77777777" w:rsidR="007C39DC" w:rsidRPr="007C39DC" w:rsidRDefault="007C39DC" w:rsidP="00D52BA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 xml:space="preserve">Hash12 = </w:t>
      </w:r>
      <w:proofErr w:type="gramStart"/>
      <w:r w:rsidRPr="007C39DC">
        <w:rPr>
          <w:rFonts w:ascii="Times New Roman" w:hAnsi="Times New Roman" w:cs="Times New Roman"/>
        </w:rPr>
        <w:t>Hash(</w:t>
      </w:r>
      <w:proofErr w:type="gramEnd"/>
      <w:r w:rsidRPr="007C39DC">
        <w:rPr>
          <w:rFonts w:ascii="Times New Roman" w:hAnsi="Times New Roman" w:cs="Times New Roman"/>
        </w:rPr>
        <w:t>Hash1 + Hash2)</w:t>
      </w:r>
    </w:p>
    <w:p w14:paraId="210142FD" w14:textId="77777777" w:rsidR="007C39DC" w:rsidRPr="007C39DC" w:rsidRDefault="007C39DC" w:rsidP="00D52BA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 xml:space="preserve">Hash34 = </w:t>
      </w:r>
      <w:proofErr w:type="gramStart"/>
      <w:r w:rsidRPr="007C39DC">
        <w:rPr>
          <w:rFonts w:ascii="Times New Roman" w:hAnsi="Times New Roman" w:cs="Times New Roman"/>
        </w:rPr>
        <w:t>Hash(</w:t>
      </w:r>
      <w:proofErr w:type="gramEnd"/>
      <w:r w:rsidRPr="007C39DC">
        <w:rPr>
          <w:rFonts w:ascii="Times New Roman" w:hAnsi="Times New Roman" w:cs="Times New Roman"/>
        </w:rPr>
        <w:t>Hash3 + Hash4)</w:t>
      </w:r>
    </w:p>
    <w:p w14:paraId="4873A134" w14:textId="77777777" w:rsidR="007C39DC" w:rsidRPr="007C39DC" w:rsidRDefault="007C39DC" w:rsidP="00D52BA3">
      <w:p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>Now the Merkle root:</w:t>
      </w:r>
    </w:p>
    <w:p w14:paraId="16FC11B3" w14:textId="77777777" w:rsidR="007C39DC" w:rsidRPr="007C39DC" w:rsidRDefault="007C39DC" w:rsidP="00D52BA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  <w:b/>
          <w:bCs/>
        </w:rPr>
        <w:t xml:space="preserve">Merkle Root = </w:t>
      </w:r>
      <w:proofErr w:type="gramStart"/>
      <w:r w:rsidRPr="007C39DC">
        <w:rPr>
          <w:rFonts w:ascii="Times New Roman" w:hAnsi="Times New Roman" w:cs="Times New Roman"/>
          <w:b/>
          <w:bCs/>
        </w:rPr>
        <w:t>Hash(</w:t>
      </w:r>
      <w:proofErr w:type="gramEnd"/>
      <w:r w:rsidRPr="007C39DC">
        <w:rPr>
          <w:rFonts w:ascii="Times New Roman" w:hAnsi="Times New Roman" w:cs="Times New Roman"/>
          <w:b/>
          <w:bCs/>
        </w:rPr>
        <w:t>Hash12 + Hash34)</w:t>
      </w:r>
    </w:p>
    <w:p w14:paraId="295A9319" w14:textId="77777777" w:rsidR="007C39DC" w:rsidRPr="007C39DC" w:rsidRDefault="007C39DC" w:rsidP="00D52BA3">
      <w:pPr>
        <w:jc w:val="both"/>
        <w:rPr>
          <w:rFonts w:ascii="Times New Roman" w:hAnsi="Times New Roman" w:cs="Times New Roman"/>
        </w:rPr>
      </w:pPr>
      <w:r w:rsidRPr="007C39DC">
        <w:rPr>
          <w:rFonts w:ascii="Times New Roman" w:hAnsi="Times New Roman" w:cs="Times New Roman"/>
        </w:rPr>
        <w:t xml:space="preserve">If </w:t>
      </w:r>
      <w:r w:rsidRPr="007C39DC">
        <w:rPr>
          <w:rFonts w:ascii="Times New Roman" w:hAnsi="Times New Roman" w:cs="Times New Roman"/>
          <w:b/>
          <w:bCs/>
        </w:rPr>
        <w:t>Tx2</w:t>
      </w:r>
      <w:r w:rsidRPr="007C39DC">
        <w:rPr>
          <w:rFonts w:ascii="Times New Roman" w:hAnsi="Times New Roman" w:cs="Times New Roman"/>
        </w:rPr>
        <w:t xml:space="preserve"> changes, then Hash2 changes → Hash12 changes → Merkle Root changes.</w:t>
      </w:r>
    </w:p>
    <w:p w14:paraId="12C9F0DD" w14:textId="75623C16" w:rsidR="007C39DC" w:rsidRPr="00D52BA3" w:rsidRDefault="007C39DC" w:rsidP="00D52BA3">
      <w:pPr>
        <w:jc w:val="both"/>
        <w:rPr>
          <w:rFonts w:ascii="Times New Roman" w:hAnsi="Times New Roman" w:cs="Times New Roman"/>
          <w:b/>
          <w:bCs/>
        </w:rPr>
      </w:pPr>
      <w:r w:rsidRPr="007C39DC">
        <w:rPr>
          <w:rFonts w:ascii="Times New Roman" w:hAnsi="Times New Roman" w:cs="Times New Roman"/>
        </w:rPr>
        <w:t xml:space="preserve"> </w:t>
      </w:r>
      <w:r w:rsidRPr="007C39DC">
        <w:rPr>
          <w:rFonts w:ascii="Times New Roman" w:hAnsi="Times New Roman" w:cs="Times New Roman"/>
          <w:b/>
          <w:bCs/>
        </w:rPr>
        <w:t>So, Merkle Root ensures the block’s data hasn’t been tampered with.</w:t>
      </w:r>
    </w:p>
    <w:p w14:paraId="50AF1CBC" w14:textId="77777777" w:rsidR="007C39DC" w:rsidRPr="00D52BA3" w:rsidRDefault="007C39DC" w:rsidP="00D52BA3">
      <w:pPr>
        <w:jc w:val="both"/>
        <w:rPr>
          <w:rFonts w:ascii="Times New Roman" w:hAnsi="Times New Roman" w:cs="Times New Roman"/>
          <w:b/>
          <w:bCs/>
        </w:rPr>
      </w:pPr>
    </w:p>
    <w:p w14:paraId="31DC8739" w14:textId="77777777" w:rsidR="00D52BA3" w:rsidRPr="00D52BA3" w:rsidRDefault="00D52BA3" w:rsidP="00D52BA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4CEF26C6" w14:textId="2FEBE355" w:rsidR="00D52BA3" w:rsidRPr="00D52BA3" w:rsidRDefault="000F5F3F" w:rsidP="00D52BA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14:paraId="1A38FDB9" w14:textId="77777777" w:rsidR="00D52BA3" w:rsidRPr="00D52BA3" w:rsidRDefault="00D52BA3" w:rsidP="00D52BA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689C0742" w14:textId="77777777" w:rsidR="00D52BA3" w:rsidRPr="00D52BA3" w:rsidRDefault="00D52BA3" w:rsidP="00D52BA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60B03A02" w14:textId="77777777" w:rsidR="00D52BA3" w:rsidRPr="00D52BA3" w:rsidRDefault="00D52BA3" w:rsidP="00D52BA3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3AAEB4BD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70C043C1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5EA21A4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44173C6A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194D37E5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612A50F8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16C9A1C" w14:textId="77777777" w:rsidR="008D7085" w:rsidRPr="008D7085" w:rsidRDefault="008D7085" w:rsidP="008D7085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77C3E940" w14:textId="383F058B" w:rsidR="008D7085" w:rsidRPr="008D7085" w:rsidRDefault="008D7085" w:rsidP="008D7085">
      <w:pPr>
        <w:pStyle w:val="NormalWeb"/>
        <w:numPr>
          <w:ilvl w:val="0"/>
          <w:numId w:val="10"/>
        </w:numPr>
        <w:spacing w:before="240" w:after="0"/>
        <w:jc w:val="both"/>
        <w:textAlignment w:val="baseline"/>
        <w:rPr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ConsensusConceptualization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7C39DC" w:rsidRPr="00D52BA3">
        <w:rPr>
          <w:b/>
          <w:bCs/>
          <w:color w:val="000000"/>
        </w:rPr>
        <w:br/>
      </w:r>
    </w:p>
    <w:p w14:paraId="245AFC4B" w14:textId="308EF7C4" w:rsidR="008D7085" w:rsidRPr="008D7085" w:rsidRDefault="008D7085" w:rsidP="008D7085">
      <w:pPr>
        <w:pStyle w:val="NormalWeb"/>
        <w:numPr>
          <w:ilvl w:val="0"/>
          <w:numId w:val="18"/>
        </w:numPr>
        <w:spacing w:before="240" w:after="0"/>
        <w:jc w:val="both"/>
        <w:textAlignment w:val="baseline"/>
        <w:rPr>
          <w:b/>
          <w:bCs/>
          <w:color w:val="000000"/>
        </w:rPr>
      </w:pPr>
      <w:r w:rsidRPr="008D7085">
        <w:rPr>
          <w:b/>
          <w:bCs/>
          <w:color w:val="000000"/>
        </w:rPr>
        <w:t>What is Proof of Work and why does it require energy?</w:t>
      </w:r>
    </w:p>
    <w:p w14:paraId="6AEEF05A" w14:textId="4226B320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8D7085">
        <w:rPr>
          <w:color w:val="000000"/>
        </w:rPr>
        <w:t>Proof of Work is a consensus mechanism used in blockchain systems (like Bitcoin) to validate transact</w:t>
      </w:r>
      <w:r w:rsidRPr="00D52BA3">
        <w:rPr>
          <w:color w:val="000000"/>
        </w:rPr>
        <w:t>ions and add new blocks to the chain in a secure and decentralized way.</w:t>
      </w:r>
    </w:p>
    <w:p w14:paraId="4A943841" w14:textId="52C88EF2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  <w:r w:rsidRPr="00D52BA3">
        <w:rPr>
          <w:b/>
          <w:bCs/>
          <w:color w:val="000000"/>
        </w:rPr>
        <w:t>How It Works:</w:t>
      </w:r>
    </w:p>
    <w:p w14:paraId="333F027C" w14:textId="5E70DDCE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 xml:space="preserve">Miners compete to solve a complex mathematical puzzle (usually finding a hash below a </w:t>
      </w:r>
      <w:proofErr w:type="spellStart"/>
      <w:r w:rsidRPr="00D52BA3">
        <w:rPr>
          <w:color w:val="000000"/>
        </w:rPr>
        <w:t>certaintarget</w:t>
      </w:r>
      <w:proofErr w:type="spellEnd"/>
      <w:r w:rsidRPr="00D52BA3">
        <w:rPr>
          <w:color w:val="000000"/>
        </w:rPr>
        <w:t>).</w:t>
      </w:r>
      <w:r w:rsidRPr="00D52BA3">
        <w:rPr>
          <w:color w:val="000000"/>
        </w:rPr>
        <w:br/>
        <w:t>This involves:</w:t>
      </w:r>
    </w:p>
    <w:p w14:paraId="134F25F7" w14:textId="77777777" w:rsidR="00D52BA3" w:rsidRPr="00D52BA3" w:rsidRDefault="00D52BA3" w:rsidP="00D52BA3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Taking the block’s data.</w:t>
      </w:r>
    </w:p>
    <w:p w14:paraId="5E70432E" w14:textId="77777777" w:rsidR="00D52BA3" w:rsidRPr="00D52BA3" w:rsidRDefault="00D52BA3" w:rsidP="00D52BA3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Adding a random number (called nonce).</w:t>
      </w:r>
    </w:p>
    <w:p w14:paraId="13CE1C5F" w14:textId="77777777" w:rsidR="00D52BA3" w:rsidRPr="00D52BA3" w:rsidRDefault="00D52BA3" w:rsidP="00D52BA3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Hashing the combination.</w:t>
      </w:r>
    </w:p>
    <w:p w14:paraId="65232820" w14:textId="77777777" w:rsidR="00D52BA3" w:rsidRPr="00D52BA3" w:rsidRDefault="00D52BA3" w:rsidP="00D52BA3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Checking if the hash meets the required difficulty (e.g., starts with a certain number of zeros).</w:t>
      </w:r>
    </w:p>
    <w:p w14:paraId="10C735A2" w14:textId="77777777" w:rsidR="00D52BA3" w:rsidRPr="00D52BA3" w:rsidRDefault="00D52BA3" w:rsidP="00D52BA3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If not, they try a new nonce and repeat.</w:t>
      </w:r>
    </w:p>
    <w:p w14:paraId="456151CE" w14:textId="77777777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Only when a valid hash is found, the block is added to the blockchain.</w:t>
      </w:r>
    </w:p>
    <w:p w14:paraId="3A293D07" w14:textId="4C03BD99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  <w:r w:rsidRPr="00D52BA3">
        <w:rPr>
          <w:b/>
          <w:bCs/>
          <w:color w:val="000000"/>
        </w:rPr>
        <w:t xml:space="preserve"> Why Does It Require Energy?</w:t>
      </w:r>
    </w:p>
    <w:p w14:paraId="5B170112" w14:textId="77777777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Because:</w:t>
      </w:r>
    </w:p>
    <w:p w14:paraId="1C90ECFA" w14:textId="77777777" w:rsidR="00D52BA3" w:rsidRPr="00D52BA3" w:rsidRDefault="00D52BA3" w:rsidP="00D52BA3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Miners must perform millions to trillions of hash computations per second.</w:t>
      </w:r>
    </w:p>
    <w:p w14:paraId="7EDFF9B3" w14:textId="77777777" w:rsidR="00D52BA3" w:rsidRPr="00D52BA3" w:rsidRDefault="00D52BA3" w:rsidP="00D52BA3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These computations are done using powerful computers (ASICs, GPUs).</w:t>
      </w:r>
    </w:p>
    <w:p w14:paraId="20979C4E" w14:textId="6864533B" w:rsidR="00D52BA3" w:rsidRPr="00D52BA3" w:rsidRDefault="00D52BA3" w:rsidP="00D52BA3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Running this hardware consumes a large amount of electricity.</w:t>
      </w:r>
    </w:p>
    <w:p w14:paraId="7D4B1513" w14:textId="744BDB50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  <w:r w:rsidRPr="00D52BA3">
        <w:rPr>
          <w:b/>
          <w:bCs/>
          <w:color w:val="000000"/>
        </w:rPr>
        <w:t>Purpose of PoW:</w:t>
      </w:r>
    </w:p>
    <w:p w14:paraId="4474643A" w14:textId="77777777" w:rsidR="00D52BA3" w:rsidRPr="00D52BA3" w:rsidRDefault="00D52BA3" w:rsidP="00D52BA3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Prevents fraud and double-spending.</w:t>
      </w:r>
    </w:p>
    <w:p w14:paraId="4035D552" w14:textId="77777777" w:rsidR="00D52BA3" w:rsidRPr="00D52BA3" w:rsidRDefault="00D52BA3" w:rsidP="00D52BA3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Makes it costly and hard for anyone to take control of the network.</w:t>
      </w:r>
    </w:p>
    <w:p w14:paraId="6C4572DE" w14:textId="77777777" w:rsidR="00D52BA3" w:rsidRPr="00D52BA3" w:rsidRDefault="00D52BA3" w:rsidP="00D52BA3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Ensures trust without a central authority.</w:t>
      </w:r>
    </w:p>
    <w:p w14:paraId="6412A0E1" w14:textId="3F54A4D0" w:rsidR="00FC0DA0" w:rsidRPr="008D7085" w:rsidRDefault="00FC0DA0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</w:p>
    <w:p w14:paraId="5DA38246" w14:textId="06152A67" w:rsidR="00D52BA3" w:rsidRPr="008D7085" w:rsidRDefault="00D52BA3" w:rsidP="008D7085">
      <w:pPr>
        <w:pStyle w:val="NormalWeb"/>
        <w:numPr>
          <w:ilvl w:val="0"/>
          <w:numId w:val="18"/>
        </w:numPr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  <w:r w:rsidRPr="008D7085">
        <w:rPr>
          <w:b/>
          <w:bCs/>
          <w:color w:val="000000"/>
        </w:rPr>
        <w:t>What is Proof of Stake and how does it differ?</w:t>
      </w:r>
    </w:p>
    <w:p w14:paraId="5EF49155" w14:textId="77777777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Proof of Stake is a blockchain consensus mechanism where the right to add (or “propose”) a new block is assigned to participants according to the amount of cryptocurrency they lock up as a stake.</w:t>
      </w:r>
    </w:p>
    <w:p w14:paraId="67785AB8" w14:textId="77777777" w:rsidR="00D52BA3" w:rsidRPr="00D52BA3" w:rsidRDefault="00D52BA3" w:rsidP="00D52BA3">
      <w:pPr>
        <w:pStyle w:val="NormalWeb"/>
        <w:numPr>
          <w:ilvl w:val="0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lastRenderedPageBreak/>
        <w:t>Participants are called validators instead of miners.</w:t>
      </w:r>
    </w:p>
    <w:p w14:paraId="0F3D33D1" w14:textId="77777777" w:rsidR="00D52BA3" w:rsidRPr="00D52BA3" w:rsidRDefault="00D52BA3" w:rsidP="00D52BA3">
      <w:pPr>
        <w:pStyle w:val="NormalWeb"/>
        <w:numPr>
          <w:ilvl w:val="0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The protocol pseudo</w:t>
      </w:r>
      <w:r w:rsidRPr="00D52BA3">
        <w:rPr>
          <w:color w:val="000000"/>
        </w:rPr>
        <w:noBreakHyphen/>
        <w:t>randomly selects a validator (often weighted by stake size and sometimes by additional factors such as validator age or randomness beacons).</w:t>
      </w:r>
    </w:p>
    <w:p w14:paraId="39F98CC7" w14:textId="77777777" w:rsidR="00D52BA3" w:rsidRPr="00D52BA3" w:rsidRDefault="00D52BA3" w:rsidP="00D52BA3">
      <w:pPr>
        <w:pStyle w:val="NormalWeb"/>
        <w:numPr>
          <w:ilvl w:val="0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Other validators attest to—or vote on—the block’s validity.</w:t>
      </w:r>
    </w:p>
    <w:p w14:paraId="359A7C72" w14:textId="77777777" w:rsidR="00D52BA3" w:rsidRPr="00D52BA3" w:rsidRDefault="00D52BA3" w:rsidP="00D52BA3">
      <w:pPr>
        <w:pStyle w:val="NormalWeb"/>
        <w:numPr>
          <w:ilvl w:val="0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If the block is accepted, the proposer and attesters earn rewards (newly</w:t>
      </w:r>
      <w:r w:rsidRPr="00D52BA3">
        <w:rPr>
          <w:color w:val="000000"/>
        </w:rPr>
        <w:noBreakHyphen/>
        <w:t>minted coins or transaction fees).</w:t>
      </w:r>
    </w:p>
    <w:p w14:paraId="02A4E634" w14:textId="77777777" w:rsidR="00D52BA3" w:rsidRPr="00D52BA3" w:rsidRDefault="00D52BA3" w:rsidP="00D52BA3">
      <w:pPr>
        <w:pStyle w:val="NormalWeb"/>
        <w:numPr>
          <w:ilvl w:val="0"/>
          <w:numId w:val="14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If a validator breaks the rules (e.g., double</w:t>
      </w:r>
      <w:r w:rsidRPr="00D52BA3">
        <w:rPr>
          <w:color w:val="000000"/>
        </w:rPr>
        <w:noBreakHyphen/>
        <w:t xml:space="preserve">signs), a portion of their stake can be slashed—an automatic economic penalty that deters bad </w:t>
      </w:r>
      <w:proofErr w:type="spellStart"/>
      <w:r w:rsidRPr="00D52BA3">
        <w:rPr>
          <w:color w:val="000000"/>
        </w:rPr>
        <w:t>behavior</w:t>
      </w:r>
      <w:proofErr w:type="spellEnd"/>
      <w:r w:rsidRPr="00D52BA3">
        <w:rPr>
          <w:color w:val="000000"/>
        </w:rPr>
        <w:t>.</w:t>
      </w:r>
    </w:p>
    <w:p w14:paraId="0B2002A1" w14:textId="77777777" w:rsidR="00D52BA3" w:rsidRPr="00D52BA3" w:rsidRDefault="00D52BA3" w:rsidP="00D52BA3">
      <w:pPr>
        <w:pStyle w:val="NormalWeb"/>
        <w:spacing w:after="240"/>
        <w:jc w:val="both"/>
        <w:textAlignment w:val="baseline"/>
        <w:rPr>
          <w:color w:val="000000"/>
        </w:rPr>
      </w:pPr>
      <w:r w:rsidRPr="00D52BA3">
        <w:rPr>
          <w:color w:val="000000"/>
        </w:rPr>
        <w:pict w14:anchorId="4A0FE5ED">
          <v:rect id="_x0000_i1085" style="width:0;height:1.5pt" o:hralign="center" o:hrstd="t" o:hr="t" fillcolor="#a0a0a0" stroked="f"/>
        </w:pict>
      </w:r>
    </w:p>
    <w:p w14:paraId="661194A2" w14:textId="56C6EF68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  <w:r w:rsidRPr="00D52BA3">
        <w:rPr>
          <w:b/>
          <w:bCs/>
          <w:color w:val="000000"/>
        </w:rPr>
        <w:t xml:space="preserve"> Key Differences vs. Proof of Work (PoW)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2538"/>
        <w:gridCol w:w="80"/>
        <w:gridCol w:w="80"/>
        <w:gridCol w:w="80"/>
        <w:gridCol w:w="80"/>
        <w:gridCol w:w="66"/>
        <w:gridCol w:w="3383"/>
      </w:tblGrid>
      <w:tr w:rsidR="008D7085" w:rsidRPr="00D52BA3" w14:paraId="2FD2B2B5" w14:textId="77777777" w:rsidTr="008D7085">
        <w:trPr>
          <w:tblHeader/>
          <w:tblCellSpacing w:w="15" w:type="dxa"/>
        </w:trPr>
        <w:tc>
          <w:tcPr>
            <w:tcW w:w="2674" w:type="dxa"/>
            <w:vAlign w:val="center"/>
            <w:hideMark/>
          </w:tcPr>
          <w:p w14:paraId="4B7FF9E3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Aspect</w:t>
            </w:r>
          </w:p>
        </w:tc>
        <w:tc>
          <w:tcPr>
            <w:tcW w:w="2508" w:type="dxa"/>
            <w:vAlign w:val="center"/>
            <w:hideMark/>
          </w:tcPr>
          <w:p w14:paraId="07A24B5D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Proof of Work (PoW)</w:t>
            </w:r>
          </w:p>
        </w:tc>
        <w:tc>
          <w:tcPr>
            <w:tcW w:w="50" w:type="dxa"/>
          </w:tcPr>
          <w:p w14:paraId="18E809EA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50" w:type="dxa"/>
          </w:tcPr>
          <w:p w14:paraId="63938939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50" w:type="dxa"/>
          </w:tcPr>
          <w:p w14:paraId="37A2C508" w14:textId="5B263386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50" w:type="dxa"/>
          </w:tcPr>
          <w:p w14:paraId="76114F24" w14:textId="42EDCB73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36" w:type="dxa"/>
          </w:tcPr>
          <w:p w14:paraId="06E044F4" w14:textId="69156D5C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7831F6B7" w14:textId="60D5D885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b/>
                <w:bCs/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Proof of Stake (</w:t>
            </w:r>
            <w:proofErr w:type="spellStart"/>
            <w:r w:rsidRPr="00D52BA3">
              <w:rPr>
                <w:b/>
                <w:bCs/>
                <w:color w:val="000000"/>
              </w:rPr>
              <w:t>PoS</w:t>
            </w:r>
            <w:proofErr w:type="spellEnd"/>
            <w:r w:rsidRPr="00D52BA3">
              <w:rPr>
                <w:b/>
                <w:bCs/>
                <w:color w:val="000000"/>
              </w:rPr>
              <w:t>)</w:t>
            </w:r>
          </w:p>
        </w:tc>
      </w:tr>
      <w:tr w:rsidR="008D7085" w:rsidRPr="008D7085" w14:paraId="4A974AB1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411E96B5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Sybil resistance basis</w:t>
            </w:r>
          </w:p>
        </w:tc>
        <w:tc>
          <w:tcPr>
            <w:tcW w:w="2508" w:type="dxa"/>
            <w:vAlign w:val="center"/>
            <w:hideMark/>
          </w:tcPr>
          <w:p w14:paraId="4D886622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Cost of energy &amp; hardware</w:t>
            </w:r>
          </w:p>
        </w:tc>
        <w:tc>
          <w:tcPr>
            <w:tcW w:w="50" w:type="dxa"/>
          </w:tcPr>
          <w:p w14:paraId="26574C5E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73F0CC8B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5A5219AB" w14:textId="2E043EFA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15279114" w14:textId="7A6D9DF8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02B6ED49" w14:textId="1116076D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04C31207" w14:textId="64C207ED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Cost of capital staked</w:t>
            </w:r>
          </w:p>
        </w:tc>
      </w:tr>
      <w:tr w:rsidR="008D7085" w:rsidRPr="008D7085" w14:paraId="5B675219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29195253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Block creator title</w:t>
            </w:r>
          </w:p>
        </w:tc>
        <w:tc>
          <w:tcPr>
            <w:tcW w:w="2508" w:type="dxa"/>
            <w:vAlign w:val="center"/>
            <w:hideMark/>
          </w:tcPr>
          <w:p w14:paraId="4B7814D1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Miner</w:t>
            </w:r>
          </w:p>
        </w:tc>
        <w:tc>
          <w:tcPr>
            <w:tcW w:w="50" w:type="dxa"/>
          </w:tcPr>
          <w:p w14:paraId="3261BA02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7A5D0566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5FE358CF" w14:textId="77E3D486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48664B2A" w14:textId="1AAFA89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786E9EF8" w14:textId="29F573C0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58C36786" w14:textId="3EB9C95C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Validator</w:t>
            </w:r>
          </w:p>
        </w:tc>
      </w:tr>
      <w:tr w:rsidR="008D7085" w:rsidRPr="008D7085" w14:paraId="2FA59DC0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25C581CB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Chance of winning block</w:t>
            </w:r>
          </w:p>
        </w:tc>
        <w:tc>
          <w:tcPr>
            <w:tcW w:w="2508" w:type="dxa"/>
            <w:vAlign w:val="center"/>
            <w:hideMark/>
          </w:tcPr>
          <w:p w14:paraId="25111420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Proportional to hash</w:t>
            </w:r>
            <w:r w:rsidRPr="00D52BA3">
              <w:rPr>
                <w:color w:val="000000"/>
              </w:rPr>
              <w:noBreakHyphen/>
              <w:t>rate</w:t>
            </w:r>
          </w:p>
        </w:tc>
        <w:tc>
          <w:tcPr>
            <w:tcW w:w="50" w:type="dxa"/>
          </w:tcPr>
          <w:p w14:paraId="5E245E23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1F6944B2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48005BC0" w14:textId="5DA50979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1CF63074" w14:textId="2FD2E0A1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09444E6A" w14:textId="175E6FDD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1B3DDF20" w14:textId="46D58B0D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Proportional to stake (and protocol randomness)</w:t>
            </w:r>
          </w:p>
        </w:tc>
      </w:tr>
      <w:tr w:rsidR="008D7085" w:rsidRPr="008D7085" w14:paraId="6BE82AE6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7FA1A164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Security cost to attack</w:t>
            </w:r>
          </w:p>
        </w:tc>
        <w:tc>
          <w:tcPr>
            <w:tcW w:w="2508" w:type="dxa"/>
            <w:vAlign w:val="center"/>
            <w:hideMark/>
          </w:tcPr>
          <w:p w14:paraId="76B986F1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Buy/lease vast hardware + electricity</w:t>
            </w:r>
          </w:p>
        </w:tc>
        <w:tc>
          <w:tcPr>
            <w:tcW w:w="50" w:type="dxa"/>
          </w:tcPr>
          <w:p w14:paraId="0B01282B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6ED08B5C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58B158C0" w14:textId="247D1D0F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3BA0E7EC" w14:textId="50CCB7BB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1720E8C9" w14:textId="2BAD8A5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467AB114" w14:textId="1C80E013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Buy ≥⅓–½ of total stake and risk losing it</w:t>
            </w:r>
          </w:p>
        </w:tc>
      </w:tr>
      <w:tr w:rsidR="008D7085" w:rsidRPr="008D7085" w14:paraId="7DD2F349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44C2A334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Energy usage</w:t>
            </w:r>
          </w:p>
        </w:tc>
        <w:tc>
          <w:tcPr>
            <w:tcW w:w="2508" w:type="dxa"/>
            <w:vAlign w:val="center"/>
            <w:hideMark/>
          </w:tcPr>
          <w:p w14:paraId="79FBE039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High (many hash attempts)</w:t>
            </w:r>
          </w:p>
        </w:tc>
        <w:tc>
          <w:tcPr>
            <w:tcW w:w="50" w:type="dxa"/>
          </w:tcPr>
          <w:p w14:paraId="2040DAC1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1680086F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5F65D549" w14:textId="517F2A21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19F60477" w14:textId="26A69318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615CE748" w14:textId="26EE2B0B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4ED5DED8" w14:textId="648F1D1E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Low (few digital signatures)</w:t>
            </w:r>
          </w:p>
        </w:tc>
      </w:tr>
      <w:tr w:rsidR="008D7085" w:rsidRPr="008D7085" w14:paraId="26C5F94C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20CC2A29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Hardware needs</w:t>
            </w:r>
          </w:p>
        </w:tc>
        <w:tc>
          <w:tcPr>
            <w:tcW w:w="2508" w:type="dxa"/>
            <w:vAlign w:val="center"/>
            <w:hideMark/>
          </w:tcPr>
          <w:p w14:paraId="537A3D70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Specialized ASICs/GPUs</w:t>
            </w:r>
          </w:p>
        </w:tc>
        <w:tc>
          <w:tcPr>
            <w:tcW w:w="50" w:type="dxa"/>
          </w:tcPr>
          <w:p w14:paraId="03C17C9D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7BF32432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7D6E5D61" w14:textId="48D05900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7BAF2761" w14:textId="60B43BFE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57C7EF2D" w14:textId="0E15F6F1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1393C3A9" w14:textId="442197C3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Commodity servers or cloud instances</w:t>
            </w:r>
          </w:p>
        </w:tc>
      </w:tr>
      <w:tr w:rsidR="008D7085" w:rsidRPr="008D7085" w14:paraId="717713CE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13F9965A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Punishment for cheating</w:t>
            </w:r>
          </w:p>
        </w:tc>
        <w:tc>
          <w:tcPr>
            <w:tcW w:w="2508" w:type="dxa"/>
            <w:vAlign w:val="center"/>
            <w:hideMark/>
          </w:tcPr>
          <w:p w14:paraId="6909C7F2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Wasted electricity/hardware</w:t>
            </w:r>
          </w:p>
        </w:tc>
        <w:tc>
          <w:tcPr>
            <w:tcW w:w="50" w:type="dxa"/>
          </w:tcPr>
          <w:p w14:paraId="2744E24C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2BB35236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6493817C" w14:textId="39C09224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11437387" w14:textId="0E0157D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3499E64E" w14:textId="0986BE69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3748732B" w14:textId="2C2F7B4C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Slashing of locked coins</w:t>
            </w:r>
          </w:p>
        </w:tc>
      </w:tr>
      <w:tr w:rsidR="008D7085" w:rsidRPr="008D7085" w14:paraId="3C070E10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003FC837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b/>
                <w:bCs/>
                <w:color w:val="000000"/>
              </w:rPr>
              <w:t>Typical finality</w:t>
            </w:r>
          </w:p>
        </w:tc>
        <w:tc>
          <w:tcPr>
            <w:tcW w:w="2508" w:type="dxa"/>
            <w:vAlign w:val="center"/>
            <w:hideMark/>
          </w:tcPr>
          <w:p w14:paraId="29F09B8E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Probabilistic (wait for many confirmations)</w:t>
            </w:r>
          </w:p>
        </w:tc>
        <w:tc>
          <w:tcPr>
            <w:tcW w:w="50" w:type="dxa"/>
          </w:tcPr>
          <w:p w14:paraId="59097289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6ADE96D3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3F7C184C" w14:textId="1965A102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7E8FB4C6" w14:textId="09DB5C99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1C7F2F23" w14:textId="63B3AA0E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0E8C6B8F" w14:textId="0F25140F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Often faster economic or deterministic finality</w:t>
            </w:r>
          </w:p>
        </w:tc>
      </w:tr>
      <w:tr w:rsidR="008D7085" w:rsidRPr="008D7085" w14:paraId="25B37FCA" w14:textId="77777777" w:rsidTr="008D7085">
        <w:trPr>
          <w:tblCellSpacing w:w="15" w:type="dxa"/>
        </w:trPr>
        <w:tc>
          <w:tcPr>
            <w:tcW w:w="2674" w:type="dxa"/>
            <w:vAlign w:val="center"/>
            <w:hideMark/>
          </w:tcPr>
          <w:p w14:paraId="75B34FBB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proofErr w:type="gramStart"/>
            <w:r w:rsidRPr="00D52BA3">
              <w:rPr>
                <w:b/>
                <w:bCs/>
                <w:color w:val="000000"/>
              </w:rPr>
              <w:t>Well</w:t>
            </w:r>
            <w:proofErr w:type="gramEnd"/>
            <w:r w:rsidRPr="00D52BA3">
              <w:rPr>
                <w:b/>
                <w:bCs/>
                <w:color w:val="000000"/>
              </w:rPr>
              <w:noBreakHyphen/>
              <w:t>known examples</w:t>
            </w:r>
          </w:p>
        </w:tc>
        <w:tc>
          <w:tcPr>
            <w:tcW w:w="2508" w:type="dxa"/>
            <w:vAlign w:val="center"/>
            <w:hideMark/>
          </w:tcPr>
          <w:p w14:paraId="7B06A38E" w14:textId="77777777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Bitcoin, (pre</w:t>
            </w:r>
            <w:r w:rsidRPr="00D52BA3">
              <w:rPr>
                <w:color w:val="000000"/>
              </w:rPr>
              <w:noBreakHyphen/>
              <w:t>2022) Ethereum</w:t>
            </w:r>
          </w:p>
        </w:tc>
        <w:tc>
          <w:tcPr>
            <w:tcW w:w="50" w:type="dxa"/>
          </w:tcPr>
          <w:p w14:paraId="5C5B5907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40D1B54F" w14:textId="7777777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6A51EC40" w14:textId="784D1954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50" w:type="dxa"/>
          </w:tcPr>
          <w:p w14:paraId="0E82C02E" w14:textId="16BCF6BA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6" w:type="dxa"/>
          </w:tcPr>
          <w:p w14:paraId="707BA153" w14:textId="6A16FA07" w:rsidR="008D7085" w:rsidRPr="008D7085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3338" w:type="dxa"/>
            <w:vAlign w:val="center"/>
            <w:hideMark/>
          </w:tcPr>
          <w:p w14:paraId="48BD6AB5" w14:textId="56400138" w:rsidR="008D7085" w:rsidRPr="00D52BA3" w:rsidRDefault="008D7085" w:rsidP="00D52BA3">
            <w:pPr>
              <w:pStyle w:val="NormalWeb"/>
              <w:spacing w:after="240"/>
              <w:jc w:val="both"/>
              <w:textAlignment w:val="baseline"/>
              <w:rPr>
                <w:color w:val="000000"/>
              </w:rPr>
            </w:pPr>
            <w:r w:rsidRPr="00D52BA3">
              <w:rPr>
                <w:color w:val="000000"/>
              </w:rPr>
              <w:t>Ethereum (post</w:t>
            </w:r>
            <w:r w:rsidRPr="00D52BA3">
              <w:rPr>
                <w:color w:val="000000"/>
              </w:rPr>
              <w:noBreakHyphen/>
              <w:t xml:space="preserve">Merge), Cardano, Solana, </w:t>
            </w:r>
            <w:proofErr w:type="spellStart"/>
            <w:r w:rsidRPr="00D52BA3">
              <w:rPr>
                <w:color w:val="000000"/>
              </w:rPr>
              <w:t>Polkadot</w:t>
            </w:r>
            <w:proofErr w:type="spellEnd"/>
          </w:p>
        </w:tc>
      </w:tr>
    </w:tbl>
    <w:p w14:paraId="2685D6D5" w14:textId="77777777" w:rsidR="00D52BA3" w:rsidRPr="008D7085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</w:p>
    <w:p w14:paraId="4C0171F7" w14:textId="77777777" w:rsidR="00D52BA3" w:rsidRPr="008D7085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</w:p>
    <w:p w14:paraId="6F72B0B8" w14:textId="0D4F9C2A" w:rsidR="00D52BA3" w:rsidRPr="00D52BA3" w:rsidRDefault="008D7085" w:rsidP="00D52BA3">
      <w:pPr>
        <w:pStyle w:val="NormalWeb"/>
        <w:numPr>
          <w:ilvl w:val="0"/>
          <w:numId w:val="15"/>
        </w:numPr>
        <w:spacing w:before="0"/>
        <w:jc w:val="both"/>
        <w:rPr>
          <w:color w:val="000000"/>
        </w:rPr>
      </w:pPr>
      <w:r w:rsidRPr="008D7085">
        <w:rPr>
          <w:b/>
          <w:bCs/>
          <w:color w:val="000000"/>
        </w:rPr>
        <w:t>What</w:t>
      </w:r>
      <w:r w:rsidRPr="008D7085">
        <w:rPr>
          <w:b/>
          <w:bCs/>
          <w:color w:val="000000"/>
        </w:rPr>
        <w:t xml:space="preserve"> </w:t>
      </w:r>
      <w:r w:rsidRPr="008D7085">
        <w:rPr>
          <w:b/>
          <w:bCs/>
          <w:color w:val="000000"/>
        </w:rPr>
        <w:t>is Delegated Proof of Stake and how are validators selected?</w:t>
      </w:r>
      <w:r w:rsidRPr="008D7085">
        <w:rPr>
          <w:color w:val="000000"/>
        </w:rPr>
        <w:br/>
      </w:r>
      <w:r w:rsidR="00D52BA3" w:rsidRPr="00D52BA3">
        <w:rPr>
          <w:color w:val="000000"/>
        </w:rPr>
        <w:br/>
        <w:t>Delegated Proof of Stake (</w:t>
      </w:r>
      <w:proofErr w:type="spellStart"/>
      <w:r w:rsidR="00D52BA3" w:rsidRPr="00D52BA3">
        <w:rPr>
          <w:color w:val="000000"/>
        </w:rPr>
        <w:t>DPoS</w:t>
      </w:r>
      <w:proofErr w:type="spellEnd"/>
      <w:r w:rsidR="00D52BA3" w:rsidRPr="00D52BA3">
        <w:rPr>
          <w:color w:val="000000"/>
        </w:rPr>
        <w:t>) is an advanced consensus mechanism built on Proof of Stake, designed for speed, efficiency, and community governance.</w:t>
      </w:r>
    </w:p>
    <w:p w14:paraId="1DF2703E" w14:textId="77777777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 xml:space="preserve">Instead of allowing all token holders to validate transactions, </w:t>
      </w:r>
      <w:proofErr w:type="spellStart"/>
      <w:r w:rsidRPr="00D52BA3">
        <w:rPr>
          <w:color w:val="000000"/>
        </w:rPr>
        <w:t>DPoS</w:t>
      </w:r>
      <w:proofErr w:type="spellEnd"/>
      <w:r w:rsidRPr="00D52BA3">
        <w:rPr>
          <w:color w:val="000000"/>
        </w:rPr>
        <w:t xml:space="preserve"> uses a voting system where token holders elect a small group of trusted validators (also called delegates or witnesses) to produce blocks and secure the network.</w:t>
      </w:r>
    </w:p>
    <w:p w14:paraId="37ED278C" w14:textId="77777777" w:rsidR="008D7085" w:rsidRDefault="008D7085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</w:p>
    <w:p w14:paraId="46E77ABD" w14:textId="6DAA4385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b/>
          <w:bCs/>
          <w:color w:val="000000"/>
        </w:rPr>
      </w:pPr>
      <w:r w:rsidRPr="00D52BA3">
        <w:rPr>
          <w:b/>
          <w:bCs/>
          <w:color w:val="000000"/>
        </w:rPr>
        <w:lastRenderedPageBreak/>
        <w:t xml:space="preserve"> How </w:t>
      </w:r>
      <w:proofErr w:type="spellStart"/>
      <w:r w:rsidRPr="00D52BA3">
        <w:rPr>
          <w:b/>
          <w:bCs/>
          <w:color w:val="000000"/>
        </w:rPr>
        <w:t>DPoS</w:t>
      </w:r>
      <w:proofErr w:type="spellEnd"/>
      <w:r w:rsidRPr="00D52BA3">
        <w:rPr>
          <w:b/>
          <w:bCs/>
          <w:color w:val="000000"/>
        </w:rPr>
        <w:t xml:space="preserve"> Works:</w:t>
      </w:r>
    </w:p>
    <w:p w14:paraId="395C8817" w14:textId="77777777" w:rsidR="00D52BA3" w:rsidRPr="00D52BA3" w:rsidRDefault="00D52BA3" w:rsidP="00D52BA3">
      <w:pPr>
        <w:pStyle w:val="NormalWeb"/>
        <w:numPr>
          <w:ilvl w:val="0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b/>
          <w:bCs/>
          <w:color w:val="000000"/>
        </w:rPr>
        <w:t>Token Holders Vote:</w:t>
      </w:r>
    </w:p>
    <w:p w14:paraId="2DDDB59F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Anyone holding tokens can vote for validators.</w:t>
      </w:r>
    </w:p>
    <w:p w14:paraId="2D8D5161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Votes are weighted by how many tokens a user owns or locks.</w:t>
      </w:r>
    </w:p>
    <w:p w14:paraId="2177CE0E" w14:textId="77777777" w:rsidR="00D52BA3" w:rsidRPr="00D52BA3" w:rsidRDefault="00D52BA3" w:rsidP="00D52BA3">
      <w:pPr>
        <w:pStyle w:val="NormalWeb"/>
        <w:numPr>
          <w:ilvl w:val="0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b/>
          <w:bCs/>
          <w:color w:val="000000"/>
        </w:rPr>
        <w:t>Validators Are Elected:</w:t>
      </w:r>
    </w:p>
    <w:p w14:paraId="0C28C46F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The top N (e.g., 21, 27, or 100) most-voted candidates become active block producers.</w:t>
      </w:r>
    </w:p>
    <w:p w14:paraId="13048588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These elected validators take turns producing blocks in a fixed schedule.</w:t>
      </w:r>
    </w:p>
    <w:p w14:paraId="2F837684" w14:textId="77777777" w:rsidR="00D52BA3" w:rsidRPr="00D52BA3" w:rsidRDefault="00D52BA3" w:rsidP="00D52BA3">
      <w:pPr>
        <w:pStyle w:val="NormalWeb"/>
        <w:numPr>
          <w:ilvl w:val="0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b/>
          <w:bCs/>
          <w:color w:val="000000"/>
        </w:rPr>
        <w:t>Block Production &amp; Rewards:</w:t>
      </w:r>
    </w:p>
    <w:p w14:paraId="61668410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Validators receive block rewards or transaction fees.</w:t>
      </w:r>
    </w:p>
    <w:p w14:paraId="34E5390C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If they misbehave (e.g., go offline or act maliciously), they can be voted out immediately.</w:t>
      </w:r>
    </w:p>
    <w:p w14:paraId="58CA5607" w14:textId="77777777" w:rsidR="00D52BA3" w:rsidRPr="00D52BA3" w:rsidRDefault="00D52BA3" w:rsidP="00D52BA3">
      <w:pPr>
        <w:pStyle w:val="NormalWeb"/>
        <w:numPr>
          <w:ilvl w:val="0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b/>
          <w:bCs/>
          <w:color w:val="000000"/>
        </w:rPr>
        <w:t>Fast Finality &amp; Governance:</w:t>
      </w:r>
    </w:p>
    <w:p w14:paraId="65532E1F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Block confirmation is faster due to fewer validators.</w:t>
      </w:r>
    </w:p>
    <w:p w14:paraId="431D4476" w14:textId="77777777" w:rsidR="00D52BA3" w:rsidRPr="00D52BA3" w:rsidRDefault="00D52BA3" w:rsidP="00D52BA3">
      <w:pPr>
        <w:pStyle w:val="NormalWeb"/>
        <w:numPr>
          <w:ilvl w:val="1"/>
          <w:numId w:val="16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D52BA3">
        <w:rPr>
          <w:color w:val="000000"/>
        </w:rPr>
        <w:t>Token holders can vote on governance decisions, such as parameter changes or protocol upgrades.</w:t>
      </w:r>
    </w:p>
    <w:p w14:paraId="72E6EED1" w14:textId="77777777" w:rsidR="00D52BA3" w:rsidRPr="00D52BA3" w:rsidRDefault="00D52BA3" w:rsidP="00D52BA3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</w:p>
    <w:sectPr w:rsidR="00D52BA3" w:rsidRPr="00D52BA3" w:rsidSect="00353C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8B4"/>
    <w:multiLevelType w:val="hybridMultilevel"/>
    <w:tmpl w:val="56C2CF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6253D"/>
    <w:multiLevelType w:val="multilevel"/>
    <w:tmpl w:val="997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949A7"/>
    <w:multiLevelType w:val="multilevel"/>
    <w:tmpl w:val="92AA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A7085"/>
    <w:multiLevelType w:val="hybridMultilevel"/>
    <w:tmpl w:val="024ECC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666DC"/>
    <w:multiLevelType w:val="multilevel"/>
    <w:tmpl w:val="A24CD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5" w15:restartNumberingAfterBreak="0">
    <w:nsid w:val="29C2420B"/>
    <w:multiLevelType w:val="hybridMultilevel"/>
    <w:tmpl w:val="67EC6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1405E"/>
    <w:multiLevelType w:val="hybridMultilevel"/>
    <w:tmpl w:val="4CF25296"/>
    <w:lvl w:ilvl="0" w:tplc="38463B74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86E094F"/>
    <w:multiLevelType w:val="hybridMultilevel"/>
    <w:tmpl w:val="92C05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B27D9"/>
    <w:multiLevelType w:val="multilevel"/>
    <w:tmpl w:val="E142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B2946"/>
    <w:multiLevelType w:val="hybridMultilevel"/>
    <w:tmpl w:val="2C32D5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E5250"/>
    <w:multiLevelType w:val="multilevel"/>
    <w:tmpl w:val="0A5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530EE"/>
    <w:multiLevelType w:val="multilevel"/>
    <w:tmpl w:val="C8F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C1C8A"/>
    <w:multiLevelType w:val="multilevel"/>
    <w:tmpl w:val="30A6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F7D75"/>
    <w:multiLevelType w:val="multilevel"/>
    <w:tmpl w:val="69C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1170E"/>
    <w:multiLevelType w:val="multilevel"/>
    <w:tmpl w:val="69B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51605"/>
    <w:multiLevelType w:val="multilevel"/>
    <w:tmpl w:val="EA1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54004"/>
    <w:multiLevelType w:val="multilevel"/>
    <w:tmpl w:val="3A3A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83C0F"/>
    <w:multiLevelType w:val="multilevel"/>
    <w:tmpl w:val="7640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34339">
    <w:abstractNumId w:val="0"/>
  </w:num>
  <w:num w:numId="2" w16cid:durableId="1853109503">
    <w:abstractNumId w:val="9"/>
  </w:num>
  <w:num w:numId="3" w16cid:durableId="2108887951">
    <w:abstractNumId w:val="3"/>
  </w:num>
  <w:num w:numId="4" w16cid:durableId="1259871434">
    <w:abstractNumId w:val="6"/>
  </w:num>
  <w:num w:numId="5" w16cid:durableId="1529636092">
    <w:abstractNumId w:val="16"/>
  </w:num>
  <w:num w:numId="6" w16cid:durableId="1028987586">
    <w:abstractNumId w:val="11"/>
  </w:num>
  <w:num w:numId="7" w16cid:durableId="262229600">
    <w:abstractNumId w:val="10"/>
  </w:num>
  <w:num w:numId="8" w16cid:durableId="1380133269">
    <w:abstractNumId w:val="1"/>
  </w:num>
  <w:num w:numId="9" w16cid:durableId="1294367290">
    <w:abstractNumId w:val="17"/>
  </w:num>
  <w:num w:numId="10" w16cid:durableId="695547472">
    <w:abstractNumId w:val="4"/>
  </w:num>
  <w:num w:numId="11" w16cid:durableId="26371604">
    <w:abstractNumId w:val="12"/>
  </w:num>
  <w:num w:numId="12" w16cid:durableId="2095472539">
    <w:abstractNumId w:val="15"/>
  </w:num>
  <w:num w:numId="13" w16cid:durableId="430861268">
    <w:abstractNumId w:val="2"/>
  </w:num>
  <w:num w:numId="14" w16cid:durableId="227611994">
    <w:abstractNumId w:val="14"/>
  </w:num>
  <w:num w:numId="15" w16cid:durableId="95224566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2144349171">
    <w:abstractNumId w:val="8"/>
  </w:num>
  <w:num w:numId="17" w16cid:durableId="1783382948">
    <w:abstractNumId w:val="7"/>
  </w:num>
  <w:num w:numId="18" w16cid:durableId="2041974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4D"/>
    <w:rsid w:val="00053B8A"/>
    <w:rsid w:val="000F5F3F"/>
    <w:rsid w:val="00353C4D"/>
    <w:rsid w:val="003750FF"/>
    <w:rsid w:val="004C750D"/>
    <w:rsid w:val="007C39DC"/>
    <w:rsid w:val="00810EA8"/>
    <w:rsid w:val="008A5773"/>
    <w:rsid w:val="008D7085"/>
    <w:rsid w:val="009741E6"/>
    <w:rsid w:val="00AF0C5C"/>
    <w:rsid w:val="00BD7F91"/>
    <w:rsid w:val="00CA089F"/>
    <w:rsid w:val="00D52BA3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8F49"/>
  <w15:chartTrackingRefBased/>
  <w15:docId w15:val="{6CB70B46-F874-4983-9540-5BA7AFF9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A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gedam</dc:creator>
  <cp:keywords/>
  <dc:description/>
  <cp:lastModifiedBy>muskan gedam</cp:lastModifiedBy>
  <cp:revision>2</cp:revision>
  <dcterms:created xsi:type="dcterms:W3CDTF">2025-06-07T13:26:00Z</dcterms:created>
  <dcterms:modified xsi:type="dcterms:W3CDTF">2025-06-09T08:28:00Z</dcterms:modified>
</cp:coreProperties>
</file>