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4D5866"/>
          <w:sz w:val="18"/>
          <w:szCs w:val="18"/>
        </w:rPr>
        <w:t xml:space="preserve">IMPLEMENTATION AND PILOT RESULTS (ADDENDUM TO THE RESEARCH PROPOSAL)</w:t>
      </w:r>
    </w:p>
    <w:p>
      <w:pPr>
        <w:spacing w:after="80"/>
      </w:pPr>
      <w:r>
        <w:rPr>
          <w:rFonts w:ascii="Calibri" w:cs="Calibri" w:eastAsia="Calibri" w:hAnsi="Calibri"/>
          <w:b/>
          <w:bCs/>
          <w:sz w:val="34"/>
          <w:szCs w:val="34"/>
        </w:rPr>
        <w:t xml:space="preserve">SecTwin: A Verifier-Grounded Reflection Agent and Security Digital Twin for O-RAN Compliance</w:t>
      </w:r>
    </w:p>
    <w:p>
      <w:pPr>
        <w:spacing w:after="120" w:line="276"/>
      </w:pPr>
      <w:r>
        <w:rPr>
          <w:rFonts w:ascii="Calibri" w:cs="Calibri" w:eastAsia="Calibri" w:hAnsi="Calibri"/>
        </w:rPr>
        <w:t xml:space="preserve">Project: Pinnacle Research Project (P32), Agentic AI for O-RAN in 6G. SSN College of Engineering, Department of Information Technology.</w:t>
      </w:r>
    </w:p>
    <w:p>
      <w:pPr>
        <w:spacing w:after="120" w:line="276"/>
      </w:pPr>
      <w:r>
        <w:rPr>
          <w:rFonts w:ascii="Calibri" w:cs="Calibri" w:eastAsia="Calibri" w:hAnsi="Calibri"/>
        </w:rPr>
        <w:t xml:space="preserve">Document generated 2026-10-19 from the experiment logs in results/. Every number in a table is computed from logged runs.</w:t>
      </w:r>
    </w:p>
    <w:p>
      <w:pPr>
        <w:pStyle w:val="Heading1"/>
        <w:spacing w:after="140" w:before="280"/>
      </w:pPr>
      <w:r>
        <w:rPr>
          <w:rFonts w:ascii="Calibri" w:cs="Calibri" w:eastAsia="Calibri" w:hAnsi="Calibri"/>
        </w:rPr>
        <w:t xml:space="preserve">1. Summary</w:t>
      </w:r>
    </w:p>
    <w:p>
      <w:pPr>
        <w:pStyle w:val="ListParagraph"/>
        <w:numPr>
          <w:ilvl w:val="0"/>
          <w:numId w:val="2"/>
        </w:numPr>
        <w:spacing w:after="60"/>
      </w:pPr>
      <w:r>
        <w:rPr>
          <w:rFonts w:ascii="Calibri" w:cs="Calibri" w:eastAsia="Calibri" w:hAnsi="Calibri"/>
        </w:rPr>
        <w:t xml:space="preserve">The narrative summary is written after all experiment phases finish; see the tables below for current numbers.</w:t>
      </w:r>
    </w:p>
    <w:p>
      <w:pPr>
        <w:spacing w:after="120" w:line="276"/>
      </w:pPr>
      <w:r>
        <w:rPr>
          <w:rFonts w:ascii="Calibri" w:cs="Calibri" w:eastAsia="Calibri" w:hAnsi="Calibri"/>
          <w:b/>
          <w:bCs/>
        </w:rPr>
        <w:t xml:space="preserve">Status labels used in this addendum</w:t>
      </w:r>
      <w:r>
        <w:rPr>
          <w:rFonts w:ascii="Calibri" w:cs="Calibri" w:eastAsia="Calibri" w:hAnsi="Calibri"/>
        </w:rPr>
        <w:t xml:space="preserve"> follow the proposal: [PUBLISHED] for cited sources, [PROPOSED] for design choices, [HYPOTHESIS] for expectations, [UNVERIFIED] for unconfirmed material. Results below are </w:t>
      </w:r>
      <w:r>
        <w:rPr>
          <w:rFonts w:ascii="Calibri" w:cs="Calibri" w:eastAsia="Calibri" w:hAnsi="Calibri"/>
          <w:b/>
          <w:bCs/>
        </w:rPr>
        <w:t xml:space="preserve">pilot scale</w:t>
      </w:r>
      <w:r>
        <w:rPr>
          <w:rFonts w:ascii="Calibri" w:cs="Calibri" w:eastAsia="Calibri" w:hAnsi="Calibri"/>
        </w:rPr>
        <w:t xml:space="preserve"> and </w:t>
      </w:r>
      <w:r>
        <w:rPr>
          <w:rFonts w:ascii="Calibri" w:cs="Calibri" w:eastAsia="Calibri" w:hAnsi="Calibri"/>
          <w:b/>
          <w:bCs/>
        </w:rPr>
        <w:t xml:space="preserve">simulated</w:t>
      </w:r>
      <w:r>
        <w:rPr>
          <w:rFonts w:ascii="Calibri" w:cs="Calibri" w:eastAsia="Calibri" w:hAnsi="Calibri"/>
        </w:rPr>
        <w:t xml:space="preserve"> where stated.</w:t>
      </w:r>
    </w:p>
    <w:p>
      <w:pPr>
        <w:pStyle w:val="Heading1"/>
        <w:spacing w:after="140" w:before="280"/>
      </w:pPr>
      <w:r>
        <w:rPr>
          <w:rFonts w:ascii="Calibri" w:cs="Calibri" w:eastAsia="Calibri" w:hAnsi="Calibri"/>
        </w:rPr>
        <w:t xml:space="preserve">2. What was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300"/>
        <w:gridCol w:w="2026"/>
      </w:tblGrid>
      <w:tr>
        <w:trPr>
          <w:tblHeader/>
        </w:trPr>
        <w:tc>
          <w:tcPr>
            <w:tcW w:type="dxa" w:w="1700"/>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Component</w:t>
            </w:r>
          </w:p>
        </w:tc>
        <w:tc>
          <w:tcPr>
            <w:tcW w:type="dxa" w:w="5300"/>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What it does</w:t>
            </w:r>
          </w:p>
        </w:tc>
        <w:tc>
          <w:tcPr>
            <w:tcW w:type="dxa" w:w="2026"/>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Where</w:t>
            </w:r>
          </w:p>
        </w:tc>
      </w:tr>
      <w:tr>
        <w:tc>
          <w:tcPr>
            <w:tcW w:type="dxa" w:w="17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Config layer</w:t>
            </w:r>
          </w:p>
        </w:tc>
        <w:tc>
          <w:tcPr>
            <w:tcW w:type="dxa" w:w="53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libconfig parser for OAI-style gNB files, security view, profile-aware oracle (ground truth), line-level patcher</w:t>
            </w:r>
          </w:p>
        </w:tc>
        <w:tc>
          <w:tcPr>
            <w:tcW w:type="dxa" w:w="20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sectwin/conf</w:t>
            </w:r>
          </w:p>
        </w:tc>
      </w:tr>
      <w:tr>
        <w:tc>
          <w:tcPr>
            <w:tcW w:type="dxa" w:w="17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Knowledge base</w:t>
            </w:r>
          </w:p>
        </w:tc>
        <w:tc>
          <w:tcPr>
            <w:tcW w:type="dxa" w:w="53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34 clauses (TS 33.501 and O-RAN WG11 paraphrases, synthetic Operator Security Baseline, distractors) with SHA-256 provenance manifest</w:t>
            </w:r>
          </w:p>
        </w:tc>
        <w:tc>
          <w:tcPr>
            <w:tcW w:type="dxa" w:w="20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sectwin/kb</w:t>
            </w:r>
          </w:p>
        </w:tc>
      </w:tr>
      <w:tr>
        <w:tc>
          <w:tcPr>
            <w:tcW w:type="dxa" w:w="17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Dataset</w:t>
            </w:r>
          </w:p>
        </w:tc>
        <w:tc>
          <w:tcPr>
            <w:tcW w:type="dxa" w:w="53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62 labelled configurations: clean, vendor default, single, multiple, decoy, context pair, noise; 45 test / 17 dev</w:t>
            </w:r>
          </w:p>
        </w:tc>
        <w:tc>
          <w:tcPr>
            <w:tcW w:type="dxa" w:w="20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sectwin/dataset, data/</w:t>
            </w:r>
          </w:p>
        </w:tc>
      </w:tr>
      <w:tr>
        <w:tc>
          <w:tcPr>
            <w:tcW w:type="dxa" w:w="17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Retrieval</w:t>
            </w:r>
          </w:p>
        </w:tc>
        <w:tc>
          <w:tcPr>
            <w:tcW w:type="dxa" w:w="53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Clause-aware hybrid BM25 + nomic-embed-text with reciprocal-rank fusion</w:t>
            </w:r>
          </w:p>
        </w:tc>
        <w:tc>
          <w:tcPr>
            <w:tcW w:type="dxa" w:w="20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sectwin/retrieval</w:t>
            </w:r>
          </w:p>
        </w:tc>
      </w:tr>
      <w:tr>
        <w:tc>
          <w:tcPr>
            <w:tcW w:type="dxa" w:w="17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Agents</w:t>
            </w:r>
          </w:p>
        </w:tc>
        <w:tc>
          <w:tcPr>
            <w:tcW w:type="dxa" w:w="53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Assessor, query generator, A0 scanner, verifier C1-C5, LLM critic, arms A0-A7 and A5x; local Qwen2.5-7B and Llama-3.1-8B via Ollama</w:t>
            </w:r>
          </w:p>
        </w:tc>
        <w:tc>
          <w:tcPr>
            <w:tcW w:type="dxa" w:w="20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sectwin/agents</w:t>
            </w:r>
          </w:p>
        </w:tc>
      </w:tr>
      <w:tr>
        <w:tc>
          <w:tcPr>
            <w:tcW w:type="dxa" w:w="17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SMT repair</w:t>
            </w:r>
          </w:p>
        </w:tc>
        <w:tc>
          <w:tcPr>
            <w:tcW w:type="dxa" w:w="53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Clause compiler + z3 Optimize: minimal configuration change that satisfies the cited clauses</w:t>
            </w:r>
          </w:p>
        </w:tc>
        <w:tc>
          <w:tcPr>
            <w:tcW w:type="dxa" w:w="20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sectwin/repair</w:t>
            </w:r>
          </w:p>
        </w:tc>
      </w:tr>
      <w:tr>
        <w:tc>
          <w:tcPr>
            <w:tcW w:type="dxa" w:w="17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Network twin</w:t>
            </w:r>
          </w:p>
        </w:tc>
        <w:tc>
          <w:tcPr>
            <w:tcW w:type="dxa" w:w="53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Hexagonal multi-site 5G network, TR 38.901 UMa radio, handover, traffic, throughput/latency, AS security negotiation from each gNB's config, attackers, config drift, SMO loop</w:t>
            </w:r>
          </w:p>
        </w:tc>
        <w:tc>
          <w:tcPr>
            <w:tcW w:type="dxa" w:w="20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sectwin/twin</w:t>
            </w:r>
          </w:p>
        </w:tc>
      </w:tr>
      <w:tr>
        <w:tc>
          <w:tcPr>
            <w:tcW w:type="dxa" w:w="17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RL scheduler</w:t>
            </w:r>
          </w:p>
        </w:tc>
        <w:tc>
          <w:tcPr>
            <w:tcW w:type="dxa" w:w="53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PPO policy deciding when to push verified fixes (exposure vs. disruption)</w:t>
            </w:r>
          </w:p>
        </w:tc>
        <w:tc>
          <w:tcPr>
            <w:tcW w:type="dxa" w:w="20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sectwin/rl</w:t>
            </w:r>
          </w:p>
        </w:tc>
      </w:tr>
      <w:tr>
        <w:tc>
          <w:tcPr>
            <w:tcW w:type="dxa" w:w="17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Dashboard</w:t>
            </w:r>
          </w:p>
        </w:tc>
        <w:tc>
          <w:tcPr>
            <w:tcW w:type="dxa" w:w="53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Network topology, assurance, compliance console, audit trail, experiments, inventory</w:t>
            </w:r>
          </w:p>
        </w:tc>
        <w:tc>
          <w:tcPr>
            <w:tcW w:type="dxa" w:w="20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ui/, sectwin/api</w:t>
            </w:r>
          </w:p>
        </w:tc>
      </w:tr>
    </w:tbl>
    <w:p>
      <w:pPr>
        <w:spacing w:after="200"/>
      </w:pPr>
      <w:r>
        <w:rPr>
          <w:rFonts w:ascii="Calibri" w:cs="Calibri" w:eastAsia="Calibri" w:hAnsi="Calibri"/>
          <w:i/>
          <w:iCs/>
          <w:color w:val="4D5866"/>
          <w:sz w:val="18"/>
          <w:szCs w:val="18"/>
        </w:rPr>
        <w:t xml:space="preserve">Table 1. Components. All software runs locally on one laptop GPU (RTX 4060, 8 GB).</w:t>
      </w:r>
    </w:p>
    <w:p>
      <w:pPr>
        <w:pStyle w:val="Heading1"/>
        <w:spacing w:after="140" w:before="280"/>
      </w:pPr>
      <w:r>
        <w:rPr>
          <w:rFonts w:ascii="Calibri" w:cs="Calibri" w:eastAsia="Calibri" w:hAnsi="Calibri"/>
        </w:rPr>
        <w:t xml:space="preserve">3. Method</w:t>
      </w:r>
    </w:p>
    <w:p>
      <w:pPr>
        <w:pStyle w:val="Heading2"/>
        <w:spacing w:after="100" w:before="200"/>
      </w:pPr>
      <w:r>
        <w:rPr>
          <w:rFonts w:ascii="Calibri" w:cs="Calibri" w:eastAsia="Calibri" w:hAnsi="Calibri"/>
        </w:rPr>
        <w:t xml:space="preserve">3.1 Ground truth and deployment profiles</w:t>
      </w:r>
    </w:p>
    <w:p>
      <w:pPr>
        <w:spacing w:after="120" w:line="276"/>
      </w:pPr>
      <w:r>
        <w:rPr>
          <w:rFonts w:ascii="Calibri" w:cs="Calibri" w:eastAsia="Calibri" w:hAnsi="Calibri"/>
        </w:rPr>
        <w:t xml:space="preserve">[PROPOSED] A profile has two dimensions: whether unauthenticated emergency sessions are a regulatory requirement (from TS 33.501), and the baseline, either standards minimum or a stricter, explicitly synthetic Operator Security Baseline (OSB-1 to OSB-5). The same file can therefore be compliant under one profile and non-compliant under another; eight context-pair items test exactly this. drb_integrity = "no" is compliant under every profile because user-plane integrity is optional to use; it is the main decoy (gap G4 in the proposal).</w:t>
      </w:r>
    </w:p>
    <w:p>
      <w:pPr>
        <w:spacing w:after="120" w:line="276"/>
      </w:pPr>
      <w:r>
        <w:rPr>
          <w:rFonts w:ascii="Calibri" w:cs="Calibri" w:eastAsia="Calibri" w:hAnsi="Calibri"/>
        </w:rPr>
        <w:t xml:space="preserve">The oracle that labels the dataset is never available to an arm. The verifier's re-scan in C5 uses the naive A0 scanner, and A7's repair compiles only the clauses an arm itself cited.</w:t>
      </w:r>
    </w:p>
    <w:p>
      <w:pPr>
        <w:pStyle w:val="Heading2"/>
        <w:spacing w:after="100" w:before="200"/>
      </w:pPr>
      <w:r>
        <w:rPr>
          <w:rFonts w:ascii="Calibri" w:cs="Calibri" w:eastAsia="Calibri" w:hAnsi="Calibri"/>
        </w:rPr>
        <w:t xml:space="preserve">3.2 Reflection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Check</w:t>
            </w:r>
          </w:p>
        </w:tc>
        <w:tc>
          <w:tcPr>
            <w:tcW w:type="dxa" w:w="6726"/>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Deterministic test (no LLM)</w:t>
            </w:r>
          </w:p>
        </w:tc>
      </w:tr>
      <w:tr>
        <w:tc>
          <w:tcPr>
            <w:tcW w:type="dxa" w:w="23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C1 schema</w:t>
            </w:r>
          </w:p>
        </w:tc>
        <w:tc>
          <w:tcPr>
            <w:tcW w:type="dxa" w:w="67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Output validates against the Assessment schema</w:t>
            </w:r>
          </w:p>
        </w:tc>
      </w:tr>
      <w:tr>
        <w:tc>
          <w:tcPr>
            <w:tcW w:type="dxa" w:w="23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C2 grounding</w:t>
            </w:r>
          </w:p>
        </w:tc>
        <w:tc>
          <w:tcPr>
            <w:tcW w:type="dxa" w:w="67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Flagged parameter exists with the stated value and line</w:t>
            </w:r>
          </w:p>
        </w:tc>
      </w:tr>
      <w:tr>
        <w:tc>
          <w:tcPr>
            <w:tcW w:type="dxa" w:w="23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C3 citation</w:t>
            </w:r>
          </w:p>
        </w:tc>
        <w:tc>
          <w:tcPr>
            <w:tcW w:type="dxa" w:w="67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Clause was retrieved, its hash matches the trusted manifest, and the quote is in the clause text (fuzzy &gt;= 90)</w:t>
            </w:r>
          </w:p>
        </w:tc>
      </w:tr>
      <w:tr>
        <w:tc>
          <w:tcPr>
            <w:tcW w:type="dxa" w:w="23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C4 strength / applicability</w:t>
            </w:r>
          </w:p>
        </w:tc>
        <w:tc>
          <w:tcPr>
            <w:tcW w:type="dxa" w:w="67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 violation needs a shall / shall-not usage sentence about this parameter; rejects 'shall support' capability sentences, conditional 'when ... is used' requirements for switched-off features, algorithm sentences cited against on/off switches, and requirements already met by the current value</w:t>
            </w:r>
          </w:p>
        </w:tc>
      </w:tr>
      <w:tr>
        <w:tc>
          <w:tcPr>
            <w:tcW w:type="dxa" w:w="23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C5 fix</w:t>
            </w:r>
          </w:p>
        </w:tc>
        <w:tc>
          <w:tcPr>
            <w:tcW w:type="dxa" w:w="67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Legal value, file still parses, only flagged lines change, literal re-scan finds nothing new</w:t>
            </w:r>
          </w:p>
        </w:tc>
      </w:tr>
      <w:tr>
        <w:tc>
          <w:tcPr>
            <w:tcW w:type="dxa" w:w="23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LLM critic</w:t>
            </w:r>
          </w:p>
        </w:tc>
        <w:tc>
          <w:tcPr>
            <w:tcW w:type="dxa" w:w="67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Looks for missed violations and scope errors; each claim must itself pass C3 and C4 before it is fed back</w:t>
            </w:r>
          </w:p>
        </w:tc>
      </w:tr>
    </w:tbl>
    <w:p>
      <w:pPr>
        <w:spacing w:after="200"/>
      </w:pPr>
      <w:r>
        <w:rPr>
          <w:rFonts w:ascii="Calibri" w:cs="Calibri" w:eastAsia="Calibri" w:hAnsi="Calibri"/>
          <w:i/>
          <w:iCs/>
          <w:color w:val="4D5866"/>
          <w:sz w:val="18"/>
          <w:szCs w:val="18"/>
        </w:rPr>
        <w:t xml:space="preserve">Table 2. Two-stage Reflection Agent. Findings still unverified after three rounds are dropped and the case is escalated.</w:t>
      </w:r>
    </w:p>
    <w:p>
      <w:pPr>
        <w:pStyle w:val="Heading2"/>
        <w:spacing w:after="100" w:before="200"/>
      </w:pPr>
      <w:r>
        <w:rPr>
          <w:rFonts w:ascii="Calibri" w:cs="Calibri" w:eastAsia="Calibri" w:hAnsi="Calibri"/>
        </w:rPr>
        <w:t xml:space="preserve">3.3 Arms and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Arm</w:t>
            </w:r>
          </w:p>
        </w:tc>
        <w:tc>
          <w:tcPr>
            <w:tcW w:type="dxa" w:w="8126"/>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Configuration</w:t>
            </w:r>
          </w:p>
        </w:tc>
      </w:tr>
      <w:tr>
        <w:tc>
          <w:tcPr>
            <w:tcW w:type="dxa" w:w="9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A0</w:t>
            </w:r>
          </w:p>
        </w:tc>
        <w:tc>
          <w:tcPr>
            <w:tcW w:type="dxa" w:w="81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Rule-based literal scanner</w:t>
            </w:r>
          </w:p>
        </w:tc>
      </w:tr>
      <w:tr>
        <w:tc>
          <w:tcPr>
            <w:tcW w:type="dxa" w:w="9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A1</w:t>
            </w:r>
          </w:p>
        </w:tc>
        <w:tc>
          <w:tcPr>
            <w:tcW w:type="dxa" w:w="81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LLM only</w:t>
            </w:r>
          </w:p>
        </w:tc>
      </w:tr>
      <w:tr>
        <w:tc>
          <w:tcPr>
            <w:tcW w:type="dxa" w:w="9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A2</w:t>
            </w:r>
          </w:p>
        </w:tc>
        <w:tc>
          <w:tcPr>
            <w:tcW w:type="dxa" w:w="81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LLM + RAG</w:t>
            </w:r>
          </w:p>
        </w:tc>
      </w:tr>
      <w:tr>
        <w:tc>
          <w:tcPr>
            <w:tcW w:type="dxa" w:w="9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A3</w:t>
            </w:r>
          </w:p>
        </w:tc>
        <w:tc>
          <w:tcPr>
            <w:tcW w:type="dxa" w:w="81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Agentic RAG (single agent)</w:t>
            </w:r>
          </w:p>
        </w:tc>
      </w:tr>
      <w:tr>
        <w:tc>
          <w:tcPr>
            <w:tcW w:type="dxa" w:w="9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A4</w:t>
            </w:r>
          </w:p>
        </w:tc>
        <w:tc>
          <w:tcPr>
            <w:tcW w:type="dxa" w:w="81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A3 + LLM-only reflection</w:t>
            </w:r>
          </w:p>
        </w:tc>
      </w:tr>
      <w:tr>
        <w:tc>
          <w:tcPr>
            <w:tcW w:type="dxa" w:w="9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A5</w:t>
            </w:r>
          </w:p>
        </w:tc>
        <w:tc>
          <w:tcPr>
            <w:tcW w:type="dxa" w:w="81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A3 + verifier-grounded reflection</w:t>
            </w:r>
          </w:p>
        </w:tc>
      </w:tr>
      <w:tr>
        <w:tc>
          <w:tcPr>
            <w:tcW w:type="dxa" w:w="9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A6</w:t>
            </w:r>
          </w:p>
        </w:tc>
        <w:tc>
          <w:tcPr>
            <w:tcW w:type="dxa" w:w="81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A3 + verifier only</w:t>
            </w:r>
          </w:p>
        </w:tc>
      </w:tr>
      <w:tr>
        <w:tc>
          <w:tcPr>
            <w:tcW w:type="dxa" w:w="9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A7</w:t>
            </w:r>
          </w:p>
        </w:tc>
        <w:tc>
          <w:tcPr>
            <w:tcW w:type="dxa" w:w="81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A5 + SMT minimal repair</w:t>
            </w:r>
          </w:p>
        </w:tc>
      </w:tr>
      <w:tr>
        <w:tc>
          <w:tcPr>
            <w:tcW w:type="dxa" w:w="9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A5x</w:t>
            </w:r>
          </w:p>
        </w:tc>
        <w:tc>
          <w:tcPr>
            <w:tcW w:type="dxa" w:w="81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A5 with cross-family critic</w:t>
            </w:r>
          </w:p>
        </w:tc>
      </w:tr>
    </w:tbl>
    <w:p>
      <w:pPr>
        <w:spacing w:after="120" w:line="276"/>
      </w:pPr>
      <w:r>
        <w:rPr>
          <w:rFonts w:ascii="Calibri" w:cs="Calibri" w:eastAsia="Calibri" w:hAnsi="Calibri"/>
        </w:rPr>
        <w:t xml:space="preserve">Metrics: configuration-level accuracy, exact match of the violation set, parameter-level precision / recall / F1, citation correctness (clause exists, quote found, and the clause is one of the oracle's governing clauses for that parameter), fix correctness on non-compliant files (all violations resolved, none introduced, every UE capability class can still attach), unnecessary-change rate on compliant files, reflection flips (wrong-to-right vs right-to-wrong per parameter), latency and tokens. Uncertainty: 95% bootstrap intervals over configurations and exact McNemar tests on paired per-configuration outcomes.</w:t>
      </w:r>
    </w:p>
    <w:p>
      <w:pPr>
        <w:pStyle w:val="Heading1"/>
        <w:spacing w:after="140" w:before="280"/>
      </w:pPr>
      <w:r>
        <w:rPr>
          <w:rFonts w:ascii="Calibri" w:cs="Calibri" w:eastAsia="Calibri" w:hAnsi="Calibri"/>
        </w:rPr>
        <w:t xml:space="preserve">4. Results: compliance agents</w:t>
      </w:r>
    </w:p>
    <w:p>
      <w:pPr>
        <w:pStyle w:val="Heading2"/>
        <w:spacing w:after="100" w:before="200"/>
      </w:pPr>
      <w:r>
        <w:rPr>
          <w:rFonts w:ascii="Calibri" w:cs="Calibri" w:eastAsia="Calibri" w:hAnsi="Calibri"/>
        </w:rPr>
        <w:t xml:space="preserve">4.1 E1: detection, citation and fix quality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520"/>
        <w:gridCol w:w="720"/>
        <w:gridCol w:w="680"/>
        <w:gridCol w:w="600"/>
        <w:gridCol w:w="600"/>
        <w:gridCol w:w="1400"/>
        <w:gridCol w:w="760"/>
        <w:gridCol w:w="720"/>
        <w:gridCol w:w="840"/>
        <w:gridCol w:w="1006"/>
        <w:gridCol w:w="660"/>
      </w:tblGrid>
      <w:tr>
        <w:trPr>
          <w:tblHeader/>
        </w:trPr>
        <w:tc>
          <w:tcPr>
            <w:tcW w:type="dxa" w:w="520"/>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Arm</w:t>
            </w:r>
          </w:p>
        </w:tc>
        <w:tc>
          <w:tcPr>
            <w:tcW w:type="dxa" w:w="520"/>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Runs</w:t>
            </w:r>
          </w:p>
        </w:tc>
        <w:tc>
          <w:tcPr>
            <w:tcW w:type="dxa" w:w="720"/>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Cfg acc.</w:t>
            </w:r>
          </w:p>
        </w:tc>
        <w:tc>
          <w:tcPr>
            <w:tcW w:type="dxa" w:w="680"/>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Exact</w:t>
            </w:r>
          </w:p>
        </w:tc>
        <w:tc>
          <w:tcPr>
            <w:tcW w:type="dxa" w:w="600"/>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Prec.</w:t>
            </w:r>
          </w:p>
        </w:tc>
        <w:tc>
          <w:tcPr>
            <w:tcW w:type="dxa" w:w="600"/>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Rec.</w:t>
            </w:r>
          </w:p>
        </w:tc>
        <w:tc>
          <w:tcPr>
            <w:tcW w:type="dxa" w:w="1400"/>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F1 [95% CI]</w:t>
            </w:r>
          </w:p>
        </w:tc>
        <w:tc>
          <w:tcPr>
            <w:tcW w:type="dxa" w:w="760"/>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Cite ok</w:t>
            </w:r>
          </w:p>
        </w:tc>
        <w:tc>
          <w:tcPr>
            <w:tcW w:type="dxa" w:w="720"/>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Fix ok</w:t>
            </w:r>
          </w:p>
        </w:tc>
        <w:tc>
          <w:tcPr>
            <w:tcW w:type="dxa" w:w="840"/>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Unneeded</w:t>
            </w:r>
          </w:p>
        </w:tc>
        <w:tc>
          <w:tcPr>
            <w:tcW w:type="dxa" w:w="1006"/>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Flips W&gt;R/R&gt;W</w:t>
            </w:r>
          </w:p>
        </w:tc>
        <w:tc>
          <w:tcPr>
            <w:tcW w:type="dxa" w:w="660"/>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s</w:t>
            </w:r>
          </w:p>
        </w:tc>
      </w:tr>
      <w:tr>
        <w:tc>
          <w:tcPr>
            <w:tcW w:type="dxa" w:w="52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A0</w:t>
            </w:r>
          </w:p>
        </w:tc>
        <w:tc>
          <w:tcPr>
            <w:tcW w:type="dxa" w:w="52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8</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37.5%</w:t>
            </w:r>
          </w:p>
        </w:tc>
        <w:tc>
          <w:tcPr>
            <w:tcW w:type="dxa" w:w="68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12.5%</w:t>
            </w:r>
          </w:p>
        </w:tc>
        <w:tc>
          <w:tcPr>
            <w:tcW w:type="dxa" w:w="6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0.20</w:t>
            </w:r>
          </w:p>
        </w:tc>
        <w:tc>
          <w:tcPr>
            <w:tcW w:type="dxa" w:w="6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1.00</w:t>
            </w:r>
          </w:p>
        </w:tc>
        <w:tc>
          <w:tcPr>
            <w:tcW w:type="dxa" w:w="14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0.33 [0.00, 0.58]</w:t>
            </w:r>
          </w:p>
        </w:tc>
        <w:tc>
          <w:tcPr>
            <w:tcW w:type="dxa" w:w="76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6.7%</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100.0%</w:t>
            </w:r>
          </w:p>
        </w:tc>
        <w:tc>
          <w:tcPr>
            <w:tcW w:type="dxa" w:w="84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83.3%</w:t>
            </w:r>
          </w:p>
        </w:tc>
        <w:tc>
          <w:tcPr>
            <w:tcW w:type="dxa" w:w="100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w:t>
            </w:r>
          </w:p>
        </w:tc>
        <w:tc>
          <w:tcPr>
            <w:tcW w:type="dxa" w:w="66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w:t>
            </w:r>
          </w:p>
        </w:tc>
      </w:tr>
      <w:tr>
        <w:tc>
          <w:tcPr>
            <w:tcW w:type="dxa" w:w="52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A1</w:t>
            </w:r>
          </w:p>
        </w:tc>
        <w:tc>
          <w:tcPr>
            <w:tcW w:type="dxa" w:w="52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8</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25.0%</w:t>
            </w:r>
          </w:p>
        </w:tc>
        <w:tc>
          <w:tcPr>
            <w:tcW w:type="dxa" w:w="68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0.0%</w:t>
            </w:r>
          </w:p>
        </w:tc>
        <w:tc>
          <w:tcPr>
            <w:tcW w:type="dxa" w:w="6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0.11</w:t>
            </w:r>
          </w:p>
        </w:tc>
        <w:tc>
          <w:tcPr>
            <w:tcW w:type="dxa" w:w="6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1.00</w:t>
            </w:r>
          </w:p>
        </w:tc>
        <w:tc>
          <w:tcPr>
            <w:tcW w:type="dxa" w:w="14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0.20 [0.00, 0.41]</w:t>
            </w:r>
          </w:p>
        </w:tc>
        <w:tc>
          <w:tcPr>
            <w:tcW w:type="dxa" w:w="76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0.0%</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50.0%</w:t>
            </w:r>
          </w:p>
        </w:tc>
        <w:tc>
          <w:tcPr>
            <w:tcW w:type="dxa" w:w="84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100.0%</w:t>
            </w:r>
          </w:p>
        </w:tc>
        <w:tc>
          <w:tcPr>
            <w:tcW w:type="dxa" w:w="100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w:t>
            </w:r>
          </w:p>
        </w:tc>
        <w:tc>
          <w:tcPr>
            <w:tcW w:type="dxa" w:w="66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60</w:t>
            </w:r>
          </w:p>
        </w:tc>
      </w:tr>
      <w:tr>
        <w:tc>
          <w:tcPr>
            <w:tcW w:type="dxa" w:w="52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A2</w:t>
            </w:r>
          </w:p>
        </w:tc>
        <w:tc>
          <w:tcPr>
            <w:tcW w:type="dxa" w:w="52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8</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25.0%</w:t>
            </w:r>
          </w:p>
        </w:tc>
        <w:tc>
          <w:tcPr>
            <w:tcW w:type="dxa" w:w="68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0.0%</w:t>
            </w:r>
          </w:p>
        </w:tc>
        <w:tc>
          <w:tcPr>
            <w:tcW w:type="dxa" w:w="6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0.12</w:t>
            </w:r>
          </w:p>
        </w:tc>
        <w:tc>
          <w:tcPr>
            <w:tcW w:type="dxa" w:w="6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1.00</w:t>
            </w:r>
          </w:p>
        </w:tc>
        <w:tc>
          <w:tcPr>
            <w:tcW w:type="dxa" w:w="14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0.21 [0.00, 0.41]</w:t>
            </w:r>
          </w:p>
        </w:tc>
        <w:tc>
          <w:tcPr>
            <w:tcW w:type="dxa" w:w="76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3.8%</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0.0%</w:t>
            </w:r>
          </w:p>
        </w:tc>
        <w:tc>
          <w:tcPr>
            <w:tcW w:type="dxa" w:w="84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100.0%</w:t>
            </w:r>
          </w:p>
        </w:tc>
        <w:tc>
          <w:tcPr>
            <w:tcW w:type="dxa" w:w="100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w:t>
            </w:r>
          </w:p>
        </w:tc>
        <w:tc>
          <w:tcPr>
            <w:tcW w:type="dxa" w:w="66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58</w:t>
            </w:r>
          </w:p>
        </w:tc>
      </w:tr>
      <w:tr>
        <w:tc>
          <w:tcPr>
            <w:tcW w:type="dxa" w:w="52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A3</w:t>
            </w:r>
          </w:p>
        </w:tc>
        <w:tc>
          <w:tcPr>
            <w:tcW w:type="dxa" w:w="52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8</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25.0%</w:t>
            </w:r>
          </w:p>
        </w:tc>
        <w:tc>
          <w:tcPr>
            <w:tcW w:type="dxa" w:w="68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0.0%</w:t>
            </w:r>
          </w:p>
        </w:tc>
        <w:tc>
          <w:tcPr>
            <w:tcW w:type="dxa" w:w="6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0.12</w:t>
            </w:r>
          </w:p>
        </w:tc>
        <w:tc>
          <w:tcPr>
            <w:tcW w:type="dxa" w:w="6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1.00</w:t>
            </w:r>
          </w:p>
        </w:tc>
        <w:tc>
          <w:tcPr>
            <w:tcW w:type="dxa" w:w="14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0.21 [0.00, 0.42]</w:t>
            </w:r>
          </w:p>
        </w:tc>
        <w:tc>
          <w:tcPr>
            <w:tcW w:type="dxa" w:w="76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8.0%</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0.0%</w:t>
            </w:r>
          </w:p>
        </w:tc>
        <w:tc>
          <w:tcPr>
            <w:tcW w:type="dxa" w:w="84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100.0%</w:t>
            </w:r>
          </w:p>
        </w:tc>
        <w:tc>
          <w:tcPr>
            <w:tcW w:type="dxa" w:w="100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w:t>
            </w:r>
          </w:p>
        </w:tc>
        <w:tc>
          <w:tcPr>
            <w:tcW w:type="dxa" w:w="66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66</w:t>
            </w:r>
          </w:p>
        </w:tc>
      </w:tr>
      <w:tr>
        <w:tc>
          <w:tcPr>
            <w:tcW w:type="dxa" w:w="52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A4</w:t>
            </w:r>
          </w:p>
        </w:tc>
        <w:tc>
          <w:tcPr>
            <w:tcW w:type="dxa" w:w="52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6</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50.0%</w:t>
            </w:r>
          </w:p>
        </w:tc>
        <w:tc>
          <w:tcPr>
            <w:tcW w:type="dxa" w:w="68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16.7%</w:t>
            </w:r>
          </w:p>
        </w:tc>
        <w:tc>
          <w:tcPr>
            <w:tcW w:type="dxa" w:w="6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0.19</w:t>
            </w:r>
          </w:p>
        </w:tc>
        <w:tc>
          <w:tcPr>
            <w:tcW w:type="dxa" w:w="6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1.00</w:t>
            </w:r>
          </w:p>
        </w:tc>
        <w:tc>
          <w:tcPr>
            <w:tcW w:type="dxa" w:w="14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0.32 [0.00, 0.56]</w:t>
            </w:r>
          </w:p>
        </w:tc>
        <w:tc>
          <w:tcPr>
            <w:tcW w:type="dxa" w:w="76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12.5%</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0.0%</w:t>
            </w:r>
          </w:p>
        </w:tc>
        <w:tc>
          <w:tcPr>
            <w:tcW w:type="dxa" w:w="84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75.0%</w:t>
            </w:r>
          </w:p>
        </w:tc>
        <w:tc>
          <w:tcPr>
            <w:tcW w:type="dxa" w:w="100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5/3</w:t>
            </w:r>
          </w:p>
        </w:tc>
        <w:tc>
          <w:tcPr>
            <w:tcW w:type="dxa" w:w="66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126</w:t>
            </w:r>
          </w:p>
        </w:tc>
      </w:tr>
      <w:tr>
        <w:tc>
          <w:tcPr>
            <w:tcW w:type="dxa" w:w="52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A5</w:t>
            </w:r>
          </w:p>
        </w:tc>
        <w:tc>
          <w:tcPr>
            <w:tcW w:type="dxa" w:w="52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6</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66.7%</w:t>
            </w:r>
          </w:p>
        </w:tc>
        <w:tc>
          <w:tcPr>
            <w:tcW w:type="dxa" w:w="68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33.3%</w:t>
            </w:r>
          </w:p>
        </w:tc>
        <w:tc>
          <w:tcPr>
            <w:tcW w:type="dxa" w:w="6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0.25</w:t>
            </w:r>
          </w:p>
        </w:tc>
        <w:tc>
          <w:tcPr>
            <w:tcW w:type="dxa" w:w="6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0.67</w:t>
            </w:r>
          </w:p>
        </w:tc>
        <w:tc>
          <w:tcPr>
            <w:tcW w:type="dxa" w:w="14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0.36 [0.00, 0.67]</w:t>
            </w:r>
          </w:p>
        </w:tc>
        <w:tc>
          <w:tcPr>
            <w:tcW w:type="dxa" w:w="76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25.0%</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0.0%</w:t>
            </w:r>
          </w:p>
        </w:tc>
        <w:tc>
          <w:tcPr>
            <w:tcW w:type="dxa" w:w="84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50.0%</w:t>
            </w:r>
          </w:p>
        </w:tc>
        <w:tc>
          <w:tcPr>
            <w:tcW w:type="dxa" w:w="100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9/1</w:t>
            </w:r>
          </w:p>
        </w:tc>
        <w:tc>
          <w:tcPr>
            <w:tcW w:type="dxa" w:w="66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93</w:t>
            </w:r>
          </w:p>
        </w:tc>
      </w:tr>
      <w:tr>
        <w:tc>
          <w:tcPr>
            <w:tcW w:type="dxa" w:w="52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A6</w:t>
            </w:r>
          </w:p>
        </w:tc>
        <w:tc>
          <w:tcPr>
            <w:tcW w:type="dxa" w:w="52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6</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50.0%</w:t>
            </w:r>
          </w:p>
        </w:tc>
        <w:tc>
          <w:tcPr>
            <w:tcW w:type="dxa" w:w="68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16.7%</w:t>
            </w:r>
          </w:p>
        </w:tc>
        <w:tc>
          <w:tcPr>
            <w:tcW w:type="dxa" w:w="6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0.22</w:t>
            </w:r>
          </w:p>
        </w:tc>
        <w:tc>
          <w:tcPr>
            <w:tcW w:type="dxa" w:w="6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0.67</w:t>
            </w:r>
          </w:p>
        </w:tc>
        <w:tc>
          <w:tcPr>
            <w:tcW w:type="dxa" w:w="14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0.33 [0.00, 0.62]</w:t>
            </w:r>
          </w:p>
        </w:tc>
        <w:tc>
          <w:tcPr>
            <w:tcW w:type="dxa" w:w="76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22.2%</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0.0%</w:t>
            </w:r>
          </w:p>
        </w:tc>
        <w:tc>
          <w:tcPr>
            <w:tcW w:type="dxa" w:w="84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75.0%</w:t>
            </w:r>
          </w:p>
        </w:tc>
        <w:tc>
          <w:tcPr>
            <w:tcW w:type="dxa" w:w="100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8/1</w:t>
            </w:r>
          </w:p>
        </w:tc>
        <w:tc>
          <w:tcPr>
            <w:tcW w:type="dxa" w:w="66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52</w:t>
            </w:r>
          </w:p>
        </w:tc>
      </w:tr>
      <w:tr>
        <w:tc>
          <w:tcPr>
            <w:tcW w:type="dxa" w:w="52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A7</w:t>
            </w:r>
          </w:p>
        </w:tc>
        <w:tc>
          <w:tcPr>
            <w:tcW w:type="dxa" w:w="52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6</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66.7%</w:t>
            </w:r>
          </w:p>
        </w:tc>
        <w:tc>
          <w:tcPr>
            <w:tcW w:type="dxa" w:w="68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33.3%</w:t>
            </w:r>
          </w:p>
        </w:tc>
        <w:tc>
          <w:tcPr>
            <w:tcW w:type="dxa" w:w="6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0.25</w:t>
            </w:r>
          </w:p>
        </w:tc>
        <w:tc>
          <w:tcPr>
            <w:tcW w:type="dxa" w:w="6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0.67</w:t>
            </w:r>
          </w:p>
        </w:tc>
        <w:tc>
          <w:tcPr>
            <w:tcW w:type="dxa" w:w="14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0.36 [0.00, 0.67]</w:t>
            </w:r>
          </w:p>
        </w:tc>
        <w:tc>
          <w:tcPr>
            <w:tcW w:type="dxa" w:w="76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25.0%</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50.0%</w:t>
            </w:r>
          </w:p>
        </w:tc>
        <w:tc>
          <w:tcPr>
            <w:tcW w:type="dxa" w:w="84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50.0%</w:t>
            </w:r>
          </w:p>
        </w:tc>
        <w:tc>
          <w:tcPr>
            <w:tcW w:type="dxa" w:w="100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9/1</w:t>
            </w:r>
          </w:p>
        </w:tc>
        <w:tc>
          <w:tcPr>
            <w:tcW w:type="dxa" w:w="66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93</w:t>
            </w:r>
          </w:p>
        </w:tc>
      </w:tr>
    </w:tbl>
    <w:p>
      <w:pPr>
        <w:spacing w:after="200"/>
      </w:pPr>
      <w:r>
        <w:rPr>
          <w:rFonts w:ascii="Calibri" w:cs="Calibri" w:eastAsia="Calibri" w:hAnsi="Calibri"/>
          <w:i/>
          <w:iCs/>
          <w:color w:val="4D5866"/>
          <w:sz w:val="18"/>
          <w:szCs w:val="18"/>
        </w:rPr>
        <w:t xml:space="preserve">Table 3. E1 on the held-out test split. Fix ok is measured on non-compliant files, Unneeded on compliant files.</w:t>
      </w:r>
    </w:p>
    <w:p>
      <w:pPr>
        <w:spacing w:after="40" w:before="80"/>
        <w:jc w:val="center"/>
      </w:pPr>
      <w:r>
        <w:drawing>
          <wp:inline distT="0" distB="0" distL="0" distR="0">
            <wp:extent cx="5715000" cy="2105025"/>
            <wp:effectExtent t="0" r="0" b="0" l="0"/>
            <wp:docPr id="1" name="e1_quality.png" descr="e1_quality.png" title="e1_qua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05025"/>
                    </a:xfrm>
                    <a:prstGeom prst="rect">
                      <a:avLst/>
                    </a:prstGeom>
                  </pic:spPr>
                </pic:pic>
              </a:graphicData>
            </a:graphic>
          </wp:inline>
        </w:drawing>
      </w:r>
    </w:p>
    <w:p>
      <w:pPr>
        <w:spacing w:after="200"/>
      </w:pPr>
      <w:r>
        <w:rPr>
          <w:rFonts w:ascii="Calibri" w:cs="Calibri" w:eastAsia="Calibri" w:hAnsi="Calibri"/>
          <w:i/>
          <w:iCs/>
          <w:color w:val="4D5866"/>
          <w:sz w:val="18"/>
          <w:szCs w:val="18"/>
        </w:rPr>
        <w:t xml:space="preserve">Figure 1. Detection quality by arm.</w:t>
      </w:r>
    </w:p>
    <w:p>
      <w:pPr>
        <w:spacing w:after="40" w:before="80"/>
        <w:jc w:val="center"/>
      </w:pPr>
      <w:r>
        <w:drawing>
          <wp:inline distT="0" distB="0" distL="0" distR="0">
            <wp:extent cx="4476750" cy="2095500"/>
            <wp:effectExtent t="0" r="0" b="0" l="0"/>
            <wp:docPr id="1" name="e1_categories.png" descr="e1_categories.png" title="e1_catego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095500"/>
                    </a:xfrm>
                    <a:prstGeom prst="rect">
                      <a:avLst/>
                    </a:prstGeom>
                  </pic:spPr>
                </pic:pic>
              </a:graphicData>
            </a:graphic>
          </wp:inline>
        </w:drawing>
      </w:r>
    </w:p>
    <w:p>
      <w:pPr>
        <w:spacing w:after="200"/>
      </w:pPr>
      <w:r>
        <w:rPr>
          <w:rFonts w:ascii="Calibri" w:cs="Calibri" w:eastAsia="Calibri" w:hAnsi="Calibri"/>
          <w:i/>
          <w:iCs/>
          <w:color w:val="4D5866"/>
          <w:sz w:val="18"/>
          <w:szCs w:val="18"/>
        </w:rPr>
        <w:t xml:space="preserve">Figure 2. Exact-match accuracy by configuration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Comparison</w:t>
            </w:r>
          </w:p>
        </w:tc>
        <w:tc>
          <w:tcPr>
            <w:tcW w:type="dxa" w:w="2000"/>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Only first correct</w:t>
            </w:r>
          </w:p>
        </w:tc>
        <w:tc>
          <w:tcPr>
            <w:tcW w:type="dxa" w:w="2000"/>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Only second correct</w:t>
            </w:r>
          </w:p>
        </w:tc>
        <w:tc>
          <w:tcPr>
            <w:tcW w:type="dxa" w:w="2026"/>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p (exact McNemar)</w:t>
            </w:r>
          </w:p>
        </w:tc>
      </w:tr>
      <w:tr>
        <w:tc>
          <w:tcPr>
            <w:tcW w:type="dxa" w:w="30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A3 vs A1</w:t>
            </w:r>
          </w:p>
        </w:tc>
        <w:tc>
          <w:tcPr>
            <w:tcW w:type="dxa" w:w="20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w:t>
            </w:r>
          </w:p>
        </w:tc>
        <w:tc>
          <w:tcPr>
            <w:tcW w:type="dxa" w:w="20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w:t>
            </w:r>
          </w:p>
        </w:tc>
        <w:tc>
          <w:tcPr>
            <w:tcW w:type="dxa" w:w="20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w:t>
            </w:r>
          </w:p>
        </w:tc>
      </w:tr>
      <w:tr>
        <w:tc>
          <w:tcPr>
            <w:tcW w:type="dxa" w:w="30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A3 vs A2</w:t>
            </w:r>
          </w:p>
        </w:tc>
        <w:tc>
          <w:tcPr>
            <w:tcW w:type="dxa" w:w="20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w:t>
            </w:r>
          </w:p>
        </w:tc>
        <w:tc>
          <w:tcPr>
            <w:tcW w:type="dxa" w:w="20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w:t>
            </w:r>
          </w:p>
        </w:tc>
        <w:tc>
          <w:tcPr>
            <w:tcW w:type="dxa" w:w="20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w:t>
            </w:r>
          </w:p>
        </w:tc>
      </w:tr>
      <w:tr>
        <w:tc>
          <w:tcPr>
            <w:tcW w:type="dxa" w:w="30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A4 vs A3</w:t>
            </w:r>
          </w:p>
        </w:tc>
        <w:tc>
          <w:tcPr>
            <w:tcW w:type="dxa" w:w="20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w:t>
            </w:r>
          </w:p>
        </w:tc>
        <w:tc>
          <w:tcPr>
            <w:tcW w:type="dxa" w:w="20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w:t>
            </w:r>
          </w:p>
        </w:tc>
        <w:tc>
          <w:tcPr>
            <w:tcW w:type="dxa" w:w="20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w:t>
            </w:r>
          </w:p>
        </w:tc>
      </w:tr>
      <w:tr>
        <w:tc>
          <w:tcPr>
            <w:tcW w:type="dxa" w:w="30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A5 vs A3</w:t>
            </w:r>
          </w:p>
        </w:tc>
        <w:tc>
          <w:tcPr>
            <w:tcW w:type="dxa" w:w="20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2</w:t>
            </w:r>
          </w:p>
        </w:tc>
        <w:tc>
          <w:tcPr>
            <w:tcW w:type="dxa" w:w="20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w:t>
            </w:r>
          </w:p>
        </w:tc>
        <w:tc>
          <w:tcPr>
            <w:tcW w:type="dxa" w:w="20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0.5</w:t>
            </w:r>
          </w:p>
        </w:tc>
      </w:tr>
      <w:tr>
        <w:tc>
          <w:tcPr>
            <w:tcW w:type="dxa" w:w="30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A5 vs A4</w:t>
            </w:r>
          </w:p>
        </w:tc>
        <w:tc>
          <w:tcPr>
            <w:tcW w:type="dxa" w:w="20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w:t>
            </w:r>
          </w:p>
        </w:tc>
        <w:tc>
          <w:tcPr>
            <w:tcW w:type="dxa" w:w="20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w:t>
            </w:r>
          </w:p>
        </w:tc>
        <w:tc>
          <w:tcPr>
            <w:tcW w:type="dxa" w:w="20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w:t>
            </w:r>
          </w:p>
        </w:tc>
      </w:tr>
      <w:tr>
        <w:tc>
          <w:tcPr>
            <w:tcW w:type="dxa" w:w="30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A6 vs A3</w:t>
            </w:r>
          </w:p>
        </w:tc>
        <w:tc>
          <w:tcPr>
            <w:tcW w:type="dxa" w:w="20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w:t>
            </w:r>
          </w:p>
        </w:tc>
        <w:tc>
          <w:tcPr>
            <w:tcW w:type="dxa" w:w="20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w:t>
            </w:r>
          </w:p>
        </w:tc>
        <w:tc>
          <w:tcPr>
            <w:tcW w:type="dxa" w:w="20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w:t>
            </w:r>
          </w:p>
        </w:tc>
      </w:tr>
      <w:tr>
        <w:tc>
          <w:tcPr>
            <w:tcW w:type="dxa" w:w="30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A5 vs A6</w:t>
            </w:r>
          </w:p>
        </w:tc>
        <w:tc>
          <w:tcPr>
            <w:tcW w:type="dxa" w:w="20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w:t>
            </w:r>
          </w:p>
        </w:tc>
        <w:tc>
          <w:tcPr>
            <w:tcW w:type="dxa" w:w="20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w:t>
            </w:r>
          </w:p>
        </w:tc>
        <w:tc>
          <w:tcPr>
            <w:tcW w:type="dxa" w:w="20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w:t>
            </w:r>
          </w:p>
        </w:tc>
      </w:tr>
      <w:tr>
        <w:tc>
          <w:tcPr>
            <w:tcW w:type="dxa" w:w="30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A0 vs A3</w:t>
            </w:r>
          </w:p>
        </w:tc>
        <w:tc>
          <w:tcPr>
            <w:tcW w:type="dxa" w:w="20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w:t>
            </w:r>
          </w:p>
        </w:tc>
        <w:tc>
          <w:tcPr>
            <w:tcW w:type="dxa" w:w="20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w:t>
            </w:r>
          </w:p>
        </w:tc>
        <w:tc>
          <w:tcPr>
            <w:tcW w:type="dxa" w:w="20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w:t>
            </w:r>
          </w:p>
        </w:tc>
      </w:tr>
      <w:tr>
        <w:tc>
          <w:tcPr>
            <w:tcW w:type="dxa" w:w="30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A0 vs A5</w:t>
            </w:r>
          </w:p>
        </w:tc>
        <w:tc>
          <w:tcPr>
            <w:tcW w:type="dxa" w:w="20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w:t>
            </w:r>
          </w:p>
        </w:tc>
        <w:tc>
          <w:tcPr>
            <w:tcW w:type="dxa" w:w="20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w:t>
            </w:r>
          </w:p>
        </w:tc>
        <w:tc>
          <w:tcPr>
            <w:tcW w:type="dxa" w:w="20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w:t>
            </w:r>
          </w:p>
        </w:tc>
      </w:tr>
    </w:tbl>
    <w:p>
      <w:pPr>
        <w:spacing w:after="200"/>
      </w:pPr>
      <w:r>
        <w:rPr>
          <w:rFonts w:ascii="Calibri" w:cs="Calibri" w:eastAsia="Calibri" w:hAnsi="Calibri"/>
          <w:i/>
          <w:iCs/>
          <w:color w:val="4D5866"/>
          <w:sz w:val="18"/>
          <w:szCs w:val="18"/>
        </w:rPr>
        <w:t xml:space="preserve">Table 4. Paired tests on per-configuration exact-match correctness.</w:t>
      </w:r>
    </w:p>
    <w:p>
      <w:pPr>
        <w:pStyle w:val="Heading1"/>
        <w:spacing w:after="140" w:before="280"/>
      </w:pPr>
      <w:r>
        <w:rPr>
          <w:rFonts w:ascii="Calibri" w:cs="Calibri" w:eastAsia="Calibri" w:hAnsi="Calibri"/>
        </w:rPr>
        <w:t xml:space="preserve">5. Network digital twin</w:t>
      </w:r>
    </w:p>
    <w:p>
      <w:pPr>
        <w:spacing w:after="120" w:line="276"/>
      </w:pPr>
      <w:r>
        <w:rPr>
          <w:rFonts w:ascii="Calibri" w:cs="Calibri" w:eastAsia="Calibri" w:hAnsi="Calibri"/>
        </w:rPr>
        <w:t xml:space="preserve">[PROPOSED] The twin answers the question the proposal could not: what a compliance error costs in a running network. Each gNB carries a full configuration file; at every attach and handover the gNB selects the first algorithm in its configured list that the UE supports (TS 33.501 6.7.3). A wrong configuration therefore produces null-ciphered user traffic, RRC signalling on NIA0 (spoofable), or UEs that cannot attach.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Aspect</w:t>
            </w:r>
          </w:p>
        </w:tc>
        <w:tc>
          <w:tcPr>
            <w:tcW w:type="dxa" w:w="7126"/>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Model</w:t>
            </w:r>
          </w:p>
        </w:tc>
      </w:tr>
      <w:tr>
        <w:tc>
          <w:tcPr>
            <w:tcW w:type="dxa" w:w="19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Layout</w:t>
            </w:r>
          </w:p>
        </w:tc>
        <w:tc>
          <w:tcPr>
            <w:tcW w:type="dxa" w:w="71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Hexagonal tri-sector macro grid, configurable sites (7/19/37) and inter-site distance; 3.5 GHz, 100 MHz, 49 dBm per sector</w:t>
            </w:r>
          </w:p>
        </w:tc>
      </w:tr>
      <w:tr>
        <w:tc>
          <w:tcPr>
            <w:tcW w:type="dxa" w:w="19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Propagation</w:t>
            </w:r>
          </w:p>
        </w:tc>
        <w:tc>
          <w:tcPr>
            <w:tcW w:type="dxa" w:w="71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TR 38.901 UMa path loss (LOS-probability weighted), 6 dB shadowing, 50 m decorrelation, 0.5 inter-site correlation, 3GPP sector pattern</w:t>
            </w:r>
          </w:p>
        </w:tc>
      </w:tr>
      <w:tr>
        <w:tc>
          <w:tcPr>
            <w:tcW w:type="dxa" w:w="19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Link and scheduling</w:t>
            </w:r>
          </w:p>
        </w:tc>
        <w:tc>
          <w:tcPr>
            <w:tcW w:type="dxa" w:w="71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0.75 x Shannon capped at 7.4 b/s/Hz, rank 2 above 12 dB, 14% overhead; water-filling time-share scheduler per cell</w:t>
            </w:r>
          </w:p>
        </w:tc>
      </w:tr>
      <w:tr>
        <w:tc>
          <w:tcPr>
            <w:tcW w:type="dxa" w:w="19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Mobility</w:t>
            </w:r>
          </w:p>
        </w:tc>
        <w:tc>
          <w:tcPr>
            <w:tcW w:type="dxa" w:w="71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Static, pedestrian (0.8-1.8 m/s), vehicular (8-17 m/s) random waypoint; A3 handover (4 dB, L3 filter, TTT); T310-style RLF</w:t>
            </w:r>
          </w:p>
        </w:tc>
      </w:tr>
      <w:tr>
        <w:tc>
          <w:tcPr>
            <w:tcW w:type="dxa" w:w="19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Traffic</w:t>
            </w:r>
          </w:p>
        </w:tc>
        <w:tc>
          <w:tcPr>
            <w:tcW w:type="dxa" w:w="71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Video, web, VoIP, IoT, bulk, fixed wireless access with a diurnal busy-hour profile; TCP-limited queues</w:t>
            </w:r>
          </w:p>
        </w:tc>
      </w:tr>
      <w:tr>
        <w:tc>
          <w:tcPr>
            <w:tcW w:type="dxa" w:w="19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Security</w:t>
            </w:r>
          </w:p>
        </w:tc>
        <w:tc>
          <w:tcPr>
            <w:tcW w:type="dxa" w:w="71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Algorithm selection from each gNB's file at attach and handover; PDCP MAC-I overhead when UP integrity is on; IPsec processing on N3</w:t>
            </w:r>
          </w:p>
        </w:tc>
      </w:tr>
      <w:tr>
        <w:tc>
          <w:tcPr>
            <w:tcW w:type="dxa" w:w="19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Threats</w:t>
            </w:r>
          </w:p>
        </w:tc>
        <w:tc>
          <w:tcPr>
            <w:tcW w:type="dxa" w:w="71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Passive sniffer, RRC injector (succeeds only against NIA0), backhaul tap (N3 without IPsec), O1 man-in-the-middle pushing malicious configs over plaintext O1</w:t>
            </w:r>
          </w:p>
        </w:tc>
      </w:tr>
      <w:tr>
        <w:tc>
          <w:tcPr>
            <w:tcW w:type="dxa" w:w="19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SMO loop</w:t>
            </w:r>
          </w:p>
        </w:tc>
        <w:tc>
          <w:tcPr>
            <w:tcW w:type="dxa" w:w="71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O1 change notification, one assessment at a time on the GPU, human approval delay, remediation policy, outage on push, 24 h manual audit</w:t>
            </w:r>
          </w:p>
        </w:tc>
      </w:tr>
    </w:tbl>
    <w:p>
      <w:pPr>
        <w:spacing w:after="200"/>
      </w:pPr>
      <w:r>
        <w:rPr>
          <w:rFonts w:ascii="Calibri" w:cs="Calibri" w:eastAsia="Calibri" w:hAnsi="Calibri"/>
          <w:i/>
          <w:iCs/>
          <w:color w:val="4D5866"/>
          <w:sz w:val="18"/>
          <w:szCs w:val="18"/>
        </w:rPr>
        <w:t xml:space="preserve">Table 7. Twin model summary (system-level simulator, not a protocol stack).</w:t>
      </w:r>
    </w:p>
    <w:p>
      <w:pPr>
        <w:pStyle w:val="Heading2"/>
        <w:spacing w:after="100" w:before="200"/>
      </w:pPr>
      <w:r>
        <w:rPr>
          <w:rFonts w:ascii="Calibri" w:cs="Calibri" w:eastAsia="Calibri" w:hAnsi="Calibri"/>
        </w:rPr>
        <w:t xml:space="preserve">5.1 E5: cost of security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1800"/>
        <w:gridCol w:w="2126"/>
      </w:tblGrid>
      <w:tr>
        <w:trPr>
          <w:tblHeader/>
        </w:trPr>
        <w:tc>
          <w:tcPr>
            <w:tcW w:type="dxa" w:w="3400"/>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Setting</w:t>
            </w:r>
          </w:p>
        </w:tc>
        <w:tc>
          <w:tcPr>
            <w:tcW w:type="dxa" w:w="1700"/>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Goodput ratio</w:t>
            </w:r>
          </w:p>
        </w:tc>
        <w:tc>
          <w:tcPr>
            <w:tcW w:type="dxa" w:w="1800"/>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VoIP header overhead</w:t>
            </w:r>
          </w:p>
        </w:tc>
        <w:tc>
          <w:tcPr>
            <w:tcW w:type="dxa" w:w="2126"/>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Latency p50 / p95 / p99 (ms)</w:t>
            </w:r>
          </w:p>
        </w:tc>
      </w:tr>
      <w:tr>
        <w:tc>
          <w:tcPr>
            <w:tcW w:type="dxa" w:w="34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Baseline (UP integrity off, N3 IPsec)</w:t>
            </w:r>
          </w:p>
        </w:tc>
        <w:tc>
          <w:tcPr>
            <w:tcW w:type="dxa" w:w="17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99.49%</w:t>
            </w:r>
          </w:p>
        </w:tc>
        <w:tc>
          <w:tcPr>
            <w:tcW w:type="dxa" w:w="18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6.54%</w:t>
            </w:r>
          </w:p>
        </w:tc>
        <w:tc>
          <w:tcPr>
            <w:tcW w:type="dxa" w:w="21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5.9 / 65.9 / 286.48</w:t>
            </w:r>
          </w:p>
        </w:tc>
      </w:tr>
      <w:tr>
        <w:tc>
          <w:tcPr>
            <w:tcW w:type="dxa" w:w="34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UP integrity on</w:t>
            </w:r>
          </w:p>
        </w:tc>
        <w:tc>
          <w:tcPr>
            <w:tcW w:type="dxa" w:w="17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99.20%</w:t>
            </w:r>
          </w:p>
        </w:tc>
        <w:tc>
          <w:tcPr>
            <w:tcW w:type="dxa" w:w="18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9.91%</w:t>
            </w:r>
          </w:p>
        </w:tc>
        <w:tc>
          <w:tcPr>
            <w:tcW w:type="dxa" w:w="21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5.95 / 65.95 / 286.53</w:t>
            </w:r>
          </w:p>
        </w:tc>
      </w:tr>
      <w:tr>
        <w:tc>
          <w:tcPr>
            <w:tcW w:type="dxa" w:w="34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N3 IPsec off</w:t>
            </w:r>
          </w:p>
        </w:tc>
        <w:tc>
          <w:tcPr>
            <w:tcW w:type="dxa" w:w="17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99.49%</w:t>
            </w:r>
          </w:p>
        </w:tc>
        <w:tc>
          <w:tcPr>
            <w:tcW w:type="dxa" w:w="18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6.54%</w:t>
            </w:r>
          </w:p>
        </w:tc>
        <w:tc>
          <w:tcPr>
            <w:tcW w:type="dxa" w:w="21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5.8 / 65.8 / 286.38</w:t>
            </w:r>
          </w:p>
        </w:tc>
      </w:tr>
      <w:tr>
        <w:tc>
          <w:tcPr>
            <w:tcW w:type="dxa" w:w="34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VoIP-heavy, UP integrity off</w:t>
            </w:r>
          </w:p>
        </w:tc>
        <w:tc>
          <w:tcPr>
            <w:tcW w:type="dxa" w:w="17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99.46%</w:t>
            </w:r>
          </w:p>
        </w:tc>
        <w:tc>
          <w:tcPr>
            <w:tcW w:type="dxa" w:w="18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6.54%</w:t>
            </w:r>
          </w:p>
        </w:tc>
        <w:tc>
          <w:tcPr>
            <w:tcW w:type="dxa" w:w="21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5.9 / 5.9 / 65.9</w:t>
            </w:r>
          </w:p>
        </w:tc>
      </w:tr>
      <w:tr>
        <w:tc>
          <w:tcPr>
            <w:tcW w:type="dxa" w:w="34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VoIP-heavy, UP integrity on</w:t>
            </w:r>
          </w:p>
        </w:tc>
        <w:tc>
          <w:tcPr>
            <w:tcW w:type="dxa" w:w="17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99.15%</w:t>
            </w:r>
          </w:p>
        </w:tc>
        <w:tc>
          <w:tcPr>
            <w:tcW w:type="dxa" w:w="18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9.91%</w:t>
            </w:r>
          </w:p>
        </w:tc>
        <w:tc>
          <w:tcPr>
            <w:tcW w:type="dxa" w:w="21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5.95 / 5.95 / 65.95</w:t>
            </w:r>
          </w:p>
        </w:tc>
      </w:tr>
    </w:tbl>
    <w:p>
      <w:pPr>
        <w:spacing w:after="200"/>
      </w:pPr>
      <w:r>
        <w:rPr>
          <w:rFonts w:ascii="Calibri" w:cs="Calibri" w:eastAsia="Calibri" w:hAnsi="Calibri"/>
          <w:i/>
          <w:iCs/>
          <w:color w:val="4D5866"/>
          <w:sz w:val="18"/>
          <w:szCs w:val="18"/>
        </w:rPr>
        <w:t xml:space="preserve">Table 9. Busy hour, 19 sites, 1500 UEs, 20 simulated minutes per setting.</w:t>
      </w:r>
    </w:p>
    <w:p>
      <w:pPr>
        <w:pStyle w:val="Heading2"/>
        <w:spacing w:after="100" w:before="200"/>
      </w:pPr>
      <w:r>
        <w:rPr>
          <w:rFonts w:ascii="Calibri" w:cs="Calibri" w:eastAsia="Calibri" w:hAnsi="Calibri"/>
        </w:rPr>
        <w:t xml:space="preserve">5.3 E6: learning when to remediate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600"/>
        <w:gridCol w:w="1100"/>
        <w:gridCol w:w="2226"/>
      </w:tblGrid>
      <w:tr>
        <w:trPr>
          <w:tblHeader/>
        </w:trPr>
        <w:tc>
          <w:tcPr>
            <w:tcW w:type="dxa" w:w="2600"/>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Policy</w:t>
            </w:r>
          </w:p>
        </w:tc>
        <w:tc>
          <w:tcPr>
            <w:tcW w:type="dxa" w:w="1500"/>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Exposure UE-h</w:t>
            </w:r>
          </w:p>
        </w:tc>
        <w:tc>
          <w:tcPr>
            <w:tcW w:type="dxa" w:w="1600"/>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Disruption UE-h</w:t>
            </w:r>
          </w:p>
        </w:tc>
        <w:tc>
          <w:tcPr>
            <w:tcW w:type="dxa" w:w="1100"/>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Pushes</w:t>
            </w:r>
          </w:p>
        </w:tc>
        <w:tc>
          <w:tcPr>
            <w:tcW w:type="dxa" w:w="2226"/>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Reward (mean ± sd)</w:t>
            </w:r>
          </w:p>
        </w:tc>
      </w:tr>
      <w:tr>
        <w:tc>
          <w:tcPr>
            <w:tcW w:type="dxa" w:w="26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immediate</w:t>
            </w:r>
          </w:p>
        </w:tc>
        <w:tc>
          <w:tcPr>
            <w:tcW w:type="dxa" w:w="15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0.4</w:t>
            </w:r>
          </w:p>
        </w:tc>
        <w:tc>
          <w:tcPr>
            <w:tcW w:type="dxa" w:w="16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6.75</w:t>
            </w:r>
          </w:p>
        </w:tc>
        <w:tc>
          <w:tcPr>
            <w:tcW w:type="dxa" w:w="11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27.0</w:t>
            </w:r>
          </w:p>
        </w:tc>
        <w:tc>
          <w:tcPr>
            <w:tcW w:type="dxa" w:w="22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-169.3 ± 40.9</w:t>
            </w:r>
          </w:p>
        </w:tc>
      </w:tr>
      <w:tr>
        <w:tc>
          <w:tcPr>
            <w:tcW w:type="dxa" w:w="26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maintenance window</w:t>
            </w:r>
          </w:p>
        </w:tc>
        <w:tc>
          <w:tcPr>
            <w:tcW w:type="dxa" w:w="15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3162.2</w:t>
            </w:r>
          </w:p>
        </w:tc>
        <w:tc>
          <w:tcPr>
            <w:tcW w:type="dxa" w:w="16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1.76</w:t>
            </w:r>
          </w:p>
        </w:tc>
        <w:tc>
          <w:tcPr>
            <w:tcW w:type="dxa" w:w="11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13.8</w:t>
            </w:r>
          </w:p>
        </w:tc>
        <w:tc>
          <w:tcPr>
            <w:tcW w:type="dxa" w:w="22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-3206.4 ± 1659.5</w:t>
            </w:r>
          </w:p>
        </w:tc>
      </w:tr>
      <w:tr>
        <w:tc>
          <w:tcPr>
            <w:tcW w:type="dxa" w:w="26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severity threshold</w:t>
            </w:r>
          </w:p>
        </w:tc>
        <w:tc>
          <w:tcPr>
            <w:tcW w:type="dxa" w:w="15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26.5</w:t>
            </w:r>
          </w:p>
        </w:tc>
        <w:tc>
          <w:tcPr>
            <w:tcW w:type="dxa" w:w="16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4.92</w:t>
            </w:r>
          </w:p>
        </w:tc>
        <w:tc>
          <w:tcPr>
            <w:tcW w:type="dxa" w:w="11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23.7</w:t>
            </w:r>
          </w:p>
        </w:tc>
        <w:tc>
          <w:tcPr>
            <w:tcW w:type="dxa" w:w="22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-149.6 ± 39.4</w:t>
            </w:r>
          </w:p>
        </w:tc>
      </w:tr>
      <w:tr>
        <w:tc>
          <w:tcPr>
            <w:tcW w:type="dxa" w:w="26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PPO (learned)</w:t>
            </w:r>
          </w:p>
        </w:tc>
        <w:tc>
          <w:tcPr>
            <w:tcW w:type="dxa" w:w="15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16.3</w:t>
            </w:r>
          </w:p>
        </w:tc>
        <w:tc>
          <w:tcPr>
            <w:tcW w:type="dxa" w:w="16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4.87</w:t>
            </w:r>
          </w:p>
        </w:tc>
        <w:tc>
          <w:tcPr>
            <w:tcW w:type="dxa" w:w="11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21.6</w:t>
            </w:r>
          </w:p>
        </w:tc>
        <w:tc>
          <w:tcPr>
            <w:tcW w:type="dxa" w:w="22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-138.0 ± 38.5</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026"/>
      </w:tblGrid>
      <w:tr>
        <w:trPr>
          <w:tblHeader/>
        </w:trPr>
        <w:tc>
          <w:tcPr>
            <w:tcW w:type="dxa" w:w="2800"/>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PPO compared with</w:t>
            </w:r>
          </w:p>
        </w:tc>
        <w:tc>
          <w:tcPr>
            <w:tcW w:type="dxa" w:w="2000"/>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Mean reward gain</w:t>
            </w:r>
          </w:p>
        </w:tc>
        <w:tc>
          <w:tcPr>
            <w:tcW w:type="dxa" w:w="2200"/>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95% CI</w:t>
            </w:r>
          </w:p>
        </w:tc>
        <w:tc>
          <w:tcPr>
            <w:tcW w:type="dxa" w:w="2026"/>
            <w:tcBorders>
              <w:top w:val="single" w:color="C9CED6" w:sz="4"/>
              <w:left w:val="single" w:color="C9CED6" w:sz="4"/>
              <w:bottom w:val="single" w:color="C9CED6" w:sz="4"/>
              <w:right w:val="single" w:color="C9CED6" w:sz="4"/>
            </w:tcBorders>
            <w:shd w:fill="E8ECF0" w:color="auto" w:val="clear"/>
            <w:tcMar>
              <w:top w:type="dxa" w:w="50"/>
              <w:left w:type="dxa" w:w="90"/>
              <w:bottom w:type="dxa" w:w="50"/>
              <w:right w:type="dxa" w:w="90"/>
            </w:tcMar>
          </w:tcPr>
          <w:p>
            <w:r>
              <w:rPr>
                <w:rFonts w:ascii="Calibri" w:cs="Calibri" w:eastAsia="Calibri" w:hAnsi="Calibri"/>
                <w:b/>
                <w:bCs/>
                <w:sz w:val="17"/>
                <w:szCs w:val="17"/>
              </w:rPr>
              <w:t xml:space="preserve">PPO better in</w:t>
            </w:r>
          </w:p>
        </w:tc>
      </w:tr>
      <w:tr>
        <w:tc>
          <w:tcPr>
            <w:tcW w:type="dxa" w:w="28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immediate</w:t>
            </w:r>
          </w:p>
        </w:tc>
        <w:tc>
          <w:tcPr>
            <w:tcW w:type="dxa" w:w="20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31.3</w:t>
            </w:r>
          </w:p>
        </w:tc>
        <w:tc>
          <w:tcPr>
            <w:tcW w:type="dxa" w:w="22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[29.5, 33.1]</w:t>
            </w:r>
          </w:p>
        </w:tc>
        <w:tc>
          <w:tcPr>
            <w:tcW w:type="dxa" w:w="20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98%</w:t>
            </w:r>
          </w:p>
        </w:tc>
      </w:tr>
      <w:tr>
        <w:tc>
          <w:tcPr>
            <w:tcW w:type="dxa" w:w="28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maintenance window</w:t>
            </w:r>
          </w:p>
        </w:tc>
        <w:tc>
          <w:tcPr>
            <w:tcW w:type="dxa" w:w="20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3068.3</w:t>
            </w:r>
          </w:p>
        </w:tc>
        <w:tc>
          <w:tcPr>
            <w:tcW w:type="dxa" w:w="22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[2854.5, 3303.0]</w:t>
            </w:r>
          </w:p>
        </w:tc>
        <w:tc>
          <w:tcPr>
            <w:tcW w:type="dxa" w:w="20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100%</w:t>
            </w:r>
          </w:p>
        </w:tc>
      </w:tr>
      <w:tr>
        <w:tc>
          <w:tcPr>
            <w:tcW w:type="dxa" w:w="28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severity threshold</w:t>
            </w:r>
          </w:p>
        </w:tc>
        <w:tc>
          <w:tcPr>
            <w:tcW w:type="dxa" w:w="20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11.5</w:t>
            </w:r>
          </w:p>
        </w:tc>
        <w:tc>
          <w:tcPr>
            <w:tcW w:type="dxa" w:w="2200"/>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[8.3, 14.9]</w:t>
            </w:r>
          </w:p>
        </w:tc>
        <w:tc>
          <w:tcPr>
            <w:tcW w:type="dxa" w:w="2026"/>
            <w:tcBorders>
              <w:top w:val="single" w:color="C9CED6" w:sz="4"/>
              <w:left w:val="single" w:color="C9CED6" w:sz="4"/>
              <w:bottom w:val="single" w:color="C9CED6" w:sz="4"/>
              <w:right w:val="single" w:color="C9CED6" w:sz="4"/>
            </w:tcBorders>
            <w:tcMar>
              <w:top w:type="dxa" w:w="50"/>
              <w:left w:type="dxa" w:w="90"/>
              <w:bottom w:type="dxa" w:w="50"/>
              <w:right w:type="dxa" w:w="90"/>
            </w:tcMar>
          </w:tcPr>
          <w:p>
            <w:r>
              <w:rPr>
                <w:rFonts w:ascii="Calibri" w:cs="Calibri" w:eastAsia="Calibri" w:hAnsi="Calibri"/>
                <w:b w:val="false"/>
                <w:bCs w:val="false"/>
                <w:sz w:val="17"/>
                <w:szCs w:val="17"/>
              </w:rPr>
              <w:t xml:space="preserve">74%</w:t>
            </w:r>
          </w:p>
        </w:tc>
      </w:tr>
    </w:tbl>
    <w:p>
      <w:pPr>
        <w:spacing w:after="200"/>
      </w:pPr>
      <w:r>
        <w:rPr>
          <w:rFonts w:ascii="Calibri" w:cs="Calibri" w:eastAsia="Calibri" w:hAnsi="Calibri"/>
          <w:i/>
          <w:iCs/>
          <w:color w:val="4D5866"/>
          <w:sz w:val="18"/>
          <w:szCs w:val="18"/>
        </w:rPr>
        <w:t xml:space="preserve">Table 11. 200 paired 24-hour episodes. Remediation-scheduling environment calibrated from the twin (users per site, diurnal load, outage durations). Severity weights are a stated modelling choice. Paired evaluation on 200 identical episodes; reward gain CI by bootstrap.</w:t>
      </w:r>
    </w:p>
    <w:p>
      <w:pPr>
        <w:spacing w:after="40" w:before="80"/>
        <w:jc w:val="center"/>
      </w:pPr>
      <w:r>
        <w:drawing>
          <wp:inline distT="0" distB="0" distL="0" distR="0">
            <wp:extent cx="5334000" cy="1762125"/>
            <wp:effectExtent t="0" r="0" b="0" l="0"/>
            <wp:docPr id="1" name="e6_rl.png" descr="e6_rl.png" title="e6_r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762125"/>
                    </a:xfrm>
                    <a:prstGeom prst="rect">
                      <a:avLst/>
                    </a:prstGeom>
                  </pic:spPr>
                </pic:pic>
              </a:graphicData>
            </a:graphic>
          </wp:inline>
        </w:drawing>
      </w:r>
    </w:p>
    <w:p>
      <w:pPr>
        <w:spacing w:after="200"/>
      </w:pPr>
      <w:r>
        <w:rPr>
          <w:rFonts w:ascii="Calibri" w:cs="Calibri" w:eastAsia="Calibri" w:hAnsi="Calibri"/>
          <w:i/>
          <w:iCs/>
          <w:color w:val="4D5866"/>
          <w:sz w:val="18"/>
          <w:szCs w:val="18"/>
        </w:rPr>
        <w:t xml:space="preserve">Figure 6. Exposure and disruption by remediation policy.</w:t>
      </w:r>
    </w:p>
    <w:p>
      <w:pPr>
        <w:pStyle w:val="Heading1"/>
        <w:spacing w:after="140" w:before="280"/>
      </w:pPr>
      <w:r>
        <w:rPr>
          <w:rFonts w:ascii="Calibri" w:cs="Calibri" w:eastAsia="Calibri" w:hAnsi="Calibri"/>
        </w:rPr>
        <w:t xml:space="preserve">6. Limitations and threats to validity</w:t>
      </w:r>
    </w:p>
    <w:p>
      <w:pPr>
        <w:pStyle w:val="ListParagraph"/>
        <w:numPr>
          <w:ilvl w:val="0"/>
          <w:numId w:val="2"/>
        </w:numPr>
        <w:spacing w:after="60"/>
      </w:pPr>
      <w:r>
        <w:rPr>
          <w:rFonts w:ascii="Calibri" w:cs="Calibri" w:eastAsia="Calibri" w:hAnsi="Calibri"/>
        </w:rPr>
        <w:t xml:space="preserve">Clause texts for TS 33.501 and O-RAN WG11 are paraphrases [UNVERIFIED]; the C3 quote check runs on whatever text is in the knowledge base, so replacing it with the official sentences needs no code change, but all citation results must be re-run afterwards.</w:t>
      </w:r>
    </w:p>
    <w:p>
      <w:pPr>
        <w:pStyle w:val="ListParagraph"/>
        <w:numPr>
          <w:ilvl w:val="0"/>
          <w:numId w:val="2"/>
        </w:numPr>
        <w:spacing w:after="60"/>
      </w:pPr>
      <w:r>
        <w:rPr>
          <w:rFonts w:ascii="Calibri" w:cs="Calibri" w:eastAsia="Calibri" w:hAnsi="Calibri"/>
        </w:rPr>
        <w:t xml:space="preserve">The dataset is synthetic and oracle-labelled, with one annotator (the oracle). The proposal's two-annotator protocol has not been carried out.</w:t>
      </w:r>
    </w:p>
    <w:p>
      <w:pPr>
        <w:pStyle w:val="ListParagraph"/>
        <w:numPr>
          <w:ilvl w:val="0"/>
          <w:numId w:val="2"/>
        </w:numPr>
        <w:spacing w:after="60"/>
      </w:pPr>
      <w:r>
        <w:rPr>
          <w:rFonts w:ascii="Calibri" w:cs="Calibri" w:eastAsia="Calibri" w:hAnsi="Calibri"/>
        </w:rPr>
        <w:t xml:space="preserve">Pilot scale: 45 test configurations and one to two repeats per arm. Intervals are wide; differences whose interval includes zero are reported as unresolved.</w:t>
      </w:r>
    </w:p>
    <w:p>
      <w:pPr>
        <w:pStyle w:val="ListParagraph"/>
        <w:numPr>
          <w:ilvl w:val="0"/>
          <w:numId w:val="2"/>
        </w:numPr>
        <w:spacing w:after="60"/>
      </w:pPr>
      <w:r>
        <w:rPr>
          <w:rFonts w:ascii="Calibri" w:cs="Calibri" w:eastAsia="Calibri" w:hAnsi="Calibri"/>
        </w:rPr>
        <w:t xml:space="preserve">The local 7B model is much smaller than the models in the closest published work; absolute accuracy is not comparable, only relative effects between arms.</w:t>
      </w:r>
    </w:p>
    <w:p>
      <w:pPr>
        <w:pStyle w:val="ListParagraph"/>
        <w:numPr>
          <w:ilvl w:val="0"/>
          <w:numId w:val="2"/>
        </w:numPr>
        <w:spacing w:after="60"/>
      </w:pPr>
      <w:r>
        <w:rPr>
          <w:rFonts w:ascii="Calibri" w:cs="Calibri" w:eastAsia="Calibri" w:hAnsi="Calibri"/>
        </w:rPr>
        <w:t xml:space="preserve">The twin is a system-level simulator; absolute KPIs are indicative. Comparisons between arms and policies on identical seeds are the meaningful output.</w:t>
      </w:r>
    </w:p>
    <w:p>
      <w:pPr>
        <w:pStyle w:val="ListParagraph"/>
        <w:numPr>
          <w:ilvl w:val="0"/>
          <w:numId w:val="2"/>
        </w:numPr>
        <w:spacing w:after="60"/>
      </w:pPr>
      <w:r>
        <w:rPr>
          <w:rFonts w:ascii="Calibri" w:cs="Calibri" w:eastAsia="Calibri" w:hAnsi="Calibri"/>
        </w:rPr>
        <w:t xml:space="preserve">The interface_security block and the Operator Security Baseline are project constructs, not part of OAI or any standard.</w:t>
      </w:r>
    </w:p>
    <w:p>
      <w:pPr>
        <w:pStyle w:val="ListParagraph"/>
        <w:numPr>
          <w:ilvl w:val="0"/>
          <w:numId w:val="2"/>
        </w:numPr>
        <w:spacing w:after="60"/>
      </w:pPr>
      <w:r>
        <w:rPr>
          <w:rFonts w:ascii="Calibri" w:cs="Calibri" w:eastAsia="Calibri" w:hAnsi="Calibri"/>
        </w:rPr>
        <w:t xml:space="preserve">The RL environment's severity weights are a modelling choice; the learned policy is valid for this environment only.</w:t>
      </w:r>
    </w:p>
    <w:p>
      <w:pPr>
        <w:pStyle w:val="Heading1"/>
        <w:spacing w:after="140" w:before="280"/>
      </w:pPr>
      <w:r>
        <w:rPr>
          <w:rFonts w:ascii="Calibri" w:cs="Calibri" w:eastAsia="Calibri" w:hAnsi="Calibri"/>
        </w:rPr>
        <w:t xml:space="preserve">7. Reproducing the results</w:t>
      </w:r>
    </w:p>
    <w:p>
      <w:pPr>
        <w:spacing w:after="60"/>
      </w:pPr>
      <w:r>
        <w:rPr>
          <w:rFonts w:ascii="Consolas" w:cs="Consolas" w:eastAsia="Consolas" w:hAnsi="Consolas"/>
          <w:sz w:val="18"/>
          <w:szCs w:val="18"/>
        </w:rPr>
        <w:t xml:space="preserve">python -m sectwin.dataset.generate</w:t>
      </w:r>
    </w:p>
    <w:p>
      <w:pPr>
        <w:spacing w:after="60"/>
      </w:pPr>
      <w:r>
        <w:rPr>
          <w:rFonts w:ascii="Consolas" w:cs="Consolas" w:eastAsia="Consolas" w:hAnsi="Consolas"/>
          <w:sz w:val="18"/>
          <w:szCs w:val="18"/>
        </w:rPr>
        <w:t xml:space="preserve">bash scripts/run_shard.sh 0/2  and  bash scripts/run_shard.sh 1/2   (E1-E3, resumable)</w:t>
      </w:r>
    </w:p>
    <w:p>
      <w:pPr>
        <w:spacing w:after="60"/>
      </w:pPr>
      <w:r>
        <w:rPr>
          <w:rFonts w:ascii="Consolas" w:cs="Consolas" w:eastAsia="Consolas" w:hAnsi="Consolas"/>
          <w:sz w:val="18"/>
          <w:szCs w:val="18"/>
        </w:rPr>
        <w:t xml:space="preserve">python -m sectwin.eval.twin_experiments e5 ;  python -m sectwin.rl.train 400000 ;  python -m sectwin.eval.twin_experiments e4 6</w:t>
      </w:r>
    </w:p>
    <w:p>
      <w:pPr>
        <w:spacing w:after="60"/>
      </w:pPr>
      <w:r>
        <w:rPr>
          <w:rFonts w:ascii="Consolas" w:cs="Consolas" w:eastAsia="Consolas" w:hAnsi="Consolas"/>
          <w:sz w:val="18"/>
          <w:szCs w:val="18"/>
        </w:rPr>
        <w:t xml:space="preserve">python -m sectwin.eval.analyze ;  python scripts/make_figures.py ;  node scripts/report/build_report.js</w:t>
      </w:r>
    </w:p>
    <w:p>
      <w:pPr>
        <w:spacing w:after="60"/>
      </w:pPr>
      <w:r>
        <w:rPr>
          <w:rFonts w:ascii="Consolas" w:cs="Consolas" w:eastAsia="Consolas" w:hAnsi="Consolas"/>
          <w:sz w:val="18"/>
          <w:szCs w:val="18"/>
        </w:rPr>
        <w:t xml:space="preserve">python -m uvicorn sectwin.api.server:app --port 8600   (dashboard at http://localhost:8600)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A8594"/>
        <w:sz w:val="16"/>
        <w:szCs w:val="16"/>
      </w:rPr>
      <w:t xml:space="preserve">SecTwin pilot results  |  page </w:t>
    </w:r>
    <w:r>
      <w:rPr>
        <w:color w:val="7A859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D242C"/>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0B5F8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bba4c9c21b2db3b9b47999f7648074313ae1533.png"/><Relationship Id="rId9" Type="http://schemas.openxmlformats.org/officeDocument/2006/relationships/image" Target="media/b32a68e4a995e21115f9c47f55d72d89a9d5f979.png"/><Relationship Id="rId10" Type="http://schemas.openxmlformats.org/officeDocument/2006/relationships/image" Target="media/4d7d1ce9c1ae426300c5333eab43a3332ebea76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SecTwin: Implementation and Pilot Results</dc:title>
  <dc:creator>SecTwin</dc:creator>
  <cp:lastModifiedBy>Un-named</cp:lastModifiedBy>
  <cp:revision>1</cp:revision>
  <dcterms:created xsi:type="dcterms:W3CDTF">2026-10-19T15:08:54.343Z</dcterms:created>
  <dcterms:modified xsi:type="dcterms:W3CDTF">2026-10-19T15:08:54.343Z</dcterms:modified>
</cp:coreProperties>
</file>

<file path=docProps/custom.xml><?xml version="1.0" encoding="utf-8"?>
<Properties xmlns="http://schemas.openxmlformats.org/officeDocument/2006/custom-properties" xmlns:vt="http://schemas.openxmlformats.org/officeDocument/2006/docPropsVTypes"/>
</file>