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4D5866"/>
          <w:sz w:val="18"/>
          <w:szCs w:val="18"/>
        </w:rPr>
        <w:t xml:space="preserve">IMPLEMENTATION AND PILOT RESULTS (ADDENDUM TO THE RESEARCH PROPOSAL)</w:t>
      </w:r>
    </w:p>
    <w:p>
      <w:pPr>
        <w:spacing w:after="80"/>
      </w:pPr>
      <w:r>
        <w:rPr>
          <w:rFonts w:ascii="Calibri" w:cs="Calibri" w:eastAsia="Calibri" w:hAnsi="Calibri"/>
          <w:b/>
          <w:bCs/>
          <w:sz w:val="34"/>
          <w:szCs w:val="34"/>
        </w:rPr>
        <w:t xml:space="preserve">SecTwin: A Verifier-Grounded Reflection Agent and Security Digital Twin for O-RAN Compliance</w:t>
      </w:r>
    </w:p>
    <w:p>
      <w:pPr>
        <w:spacing w:after="120" w:line="276"/>
      </w:pPr>
      <w:r>
        <w:rPr>
          <w:rFonts w:ascii="Calibri" w:cs="Calibri" w:eastAsia="Calibri" w:hAnsi="Calibri"/>
        </w:rPr>
        <w:t xml:space="preserve">Project: Pinnacle Research Project (P32), Agentic AI for O-RAN in 6G. SSN College of Engineering, Department of Information Technology.</w:t>
      </w:r>
    </w:p>
    <w:p>
      <w:pPr>
        <w:spacing w:after="120" w:line="276"/>
      </w:pPr>
      <w:r>
        <w:rPr>
          <w:rFonts w:ascii="Calibri" w:cs="Calibri" w:eastAsia="Calibri" w:hAnsi="Calibri"/>
        </w:rPr>
        <w:t xml:space="preserve">Document generated 2026-10-19 from the experiment logs in results/. Every number in a table is computed from logged runs.</w:t>
      </w:r>
    </w:p>
    <w:p>
      <w:pPr>
        <w:pStyle w:val="Heading1"/>
        <w:spacing w:after="140" w:before="280"/>
      </w:pPr>
      <w:r>
        <w:rPr>
          <w:rFonts w:ascii="Calibri" w:cs="Calibri" w:eastAsia="Calibri" w:hAnsi="Calibri"/>
        </w:rPr>
        <w:t xml:space="preserve">1. Summary</w:t>
      </w:r>
    </w:p>
    <w:p>
      <w:pPr>
        <w:pStyle w:val="ListParagraph"/>
        <w:numPr>
          <w:ilvl w:val="0"/>
          <w:numId w:val="2"/>
        </w:numPr>
        <w:spacing w:after="60"/>
      </w:pPr>
      <w:r>
        <w:rPr>
          <w:rFonts w:ascii="Calibri" w:cs="Calibri" w:eastAsia="Calibri" w:hAnsi="Calibri"/>
          <w:b/>
          <w:bCs/>
        </w:rPr>
        <w:t xml:space="preserve">Verification, not self-critique, is what helps.</w:t>
      </w:r>
      <w:r>
        <w:rPr>
          <w:rFonts w:ascii="Calibri" w:cs="Calibri" w:eastAsia="Calibri" w:hAnsi="Calibri"/>
        </w:rPr>
        <w:t xml:space="preserve"> On 45 held-out configurations, verifier-grounded reflection (A5) was exactly right on 10 configurations where single-agent agentic RAG (A3) was wrong, and never the reverse (exact McNemar p = 0.002). LLM-only reflection (A4, the design of the closest published work) gave no resolved gain over A3 (2 vs 0, p = 0.5).</w:t>
      </w:r>
    </w:p>
    <w:p>
      <w:pPr>
        <w:pStyle w:val="ListParagraph"/>
        <w:numPr>
          <w:ilvl w:val="0"/>
          <w:numId w:val="2"/>
        </w:numPr>
        <w:spacing w:after="60"/>
      </w:pPr>
      <w:r>
        <w:rPr>
          <w:rFonts w:ascii="Calibri" w:cs="Calibri" w:eastAsia="Calibri" w:hAnsi="Calibri"/>
          <w:b/>
          <w:bCs/>
        </w:rPr>
        <w:t xml:space="preserve">The LLM critic adds little over the deterministic verifier.</w:t>
      </w:r>
      <w:r>
        <w:rPr>
          <w:rFonts w:ascii="Calibri" w:cs="Calibri" w:eastAsia="Calibri" w:hAnsi="Calibri"/>
        </w:rPr>
        <w:t xml:space="preserve"> The verifier alone (A6) was nearly as good as A5 (A5 vs A6: 2 vs 0 configurations, p = 0.5) at about two-thirds of the tokens. This matches hypothesis H3 of the proposal.</w:t>
      </w:r>
    </w:p>
    <w:p>
      <w:pPr>
        <w:pStyle w:val="ListParagraph"/>
        <w:numPr>
          <w:ilvl w:val="0"/>
          <w:numId w:val="2"/>
        </w:numPr>
        <w:spacing w:after="60"/>
      </w:pPr>
      <w:r>
        <w:rPr>
          <w:rFonts w:ascii="Calibri" w:cs="Calibri" w:eastAsia="Calibri" w:hAnsi="Calibri"/>
          <w:b/>
          <w:bCs/>
        </w:rPr>
        <w:t xml:space="preserve">Reflection mostly corrects rather than damages.</w:t>
      </w:r>
      <w:r>
        <w:rPr>
          <w:rFonts w:ascii="Calibri" w:cs="Calibri" w:eastAsia="Calibri" w:hAnsi="Calibri"/>
        </w:rPr>
        <w:t xml:space="preserve"> Across all parameters, A5 turned 80 verdicts from wrong to right and 8 from right to wrong; A4 turned 32 right and 20 wrong.</w:t>
      </w:r>
    </w:p>
    <w:p>
      <w:pPr>
        <w:pStyle w:val="ListParagraph"/>
        <w:numPr>
          <w:ilvl w:val="0"/>
          <w:numId w:val="2"/>
        </w:numPr>
        <w:spacing w:after="60"/>
      </w:pPr>
      <w:r>
        <w:rPr>
          <w:rFonts w:ascii="Calibri" w:cs="Calibri" w:eastAsia="Calibri" w:hAnsi="Calibri"/>
          <w:b/>
          <w:bCs/>
        </w:rPr>
        <w:t xml:space="preserve">A small local model over-flags.</w:t>
      </w:r>
      <w:r>
        <w:rPr>
          <w:rFonts w:ascii="Calibri" w:cs="Calibri" w:eastAsia="Calibri" w:hAnsi="Calibri"/>
        </w:rPr>
        <w:t xml:space="preserve"> Qwen2.5-7B without verification reported about five false violations per true one (precision 0.15). Grounded verification raised precision to 0.24-0.25 and doubled citation correctness (10% to 21-23%), at a cost in recall (0.96 to 0.64-0.72).</w:t>
      </w:r>
    </w:p>
    <w:p>
      <w:pPr>
        <w:pStyle w:val="ListParagraph"/>
        <w:numPr>
          <w:ilvl w:val="0"/>
          <w:numId w:val="2"/>
        </w:numPr>
        <w:spacing w:after="60"/>
      </w:pPr>
      <w:r>
        <w:rPr>
          <w:rFonts w:ascii="Calibri" w:cs="Calibri" w:eastAsia="Calibri" w:hAnsi="Calibri"/>
          <w:b/>
          <w:bCs/>
        </w:rPr>
        <w:t xml:space="preserve">A simple rule scanner remains competitive overall</w:t>
      </w:r>
      <w:r>
        <w:rPr>
          <w:rFonts w:ascii="Calibri" w:cs="Calibri" w:eastAsia="Calibri" w:hAnsi="Calibri"/>
        </w:rPr>
        <w:t xml:space="preserve"> (A0 F1 0.41 vs A6 0.38, A0 vs A5 not resolved, p = 0.39), but it cannot reason about deployment profiles: it never solved a decoy or a context-dependent file, while A5 solved 38% of decoys.</w:t>
      </w:r>
    </w:p>
    <w:p>
      <w:pPr>
        <w:pStyle w:val="ListParagraph"/>
        <w:numPr>
          <w:ilvl w:val="0"/>
          <w:numId w:val="2"/>
        </w:numPr>
        <w:spacing w:after="60"/>
      </w:pPr>
      <w:r>
        <w:rPr>
          <w:rFonts w:ascii="Calibri" w:cs="Calibri" w:eastAsia="Calibri" w:hAnsi="Calibri"/>
          <w:b/>
          <w:bCs/>
        </w:rPr>
        <w:t xml:space="preserve">Formal repair fixes what the LLM fixes badly.</w:t>
      </w:r>
      <w:r>
        <w:rPr>
          <w:rFonts w:ascii="Calibri" w:cs="Calibri" w:eastAsia="Calibri" w:hAnsi="Calibri"/>
        </w:rPr>
        <w:t xml:space="preserve"> Using the same confirmed findings, SMT minimal repair (A7) raised fix correctness from 24% to 35% and cut unnecessary changes on compliant files from 75% to 32%.</w:t>
      </w:r>
    </w:p>
    <w:p>
      <w:pPr>
        <w:pStyle w:val="ListParagraph"/>
        <w:numPr>
          <w:ilvl w:val="0"/>
          <w:numId w:val="2"/>
        </w:numPr>
        <w:spacing w:after="60"/>
      </w:pPr>
      <w:r>
        <w:rPr>
          <w:rFonts w:ascii="Calibri" w:cs="Calibri" w:eastAsia="Calibri" w:hAnsi="Calibri"/>
          <w:b/>
          <w:bCs/>
        </w:rPr>
        <w:t xml:space="preserve">In the network, wrong fixes cost more than missed findings.</w:t>
      </w:r>
      <w:r>
        <w:rPr>
          <w:rFonts w:ascii="Calibri" w:cs="Calibri" w:eastAsia="Calibri" w:hAnsi="Calibri"/>
        </w:rPr>
        <w:t xml:space="preserve"> In the closed-loop twin (3 seeds, 6 h each), arms that push LLM-written fixes (A3, A4) left gNBs non-compliant for longer than no agent at all (52 vs 40 site-hours), because incorrect fixes create new non-compliant configurations. The same A5 findings with SMT repair (A7) cut non-compliant site-hours to 25 and users displaced by fixes by 72% (892 vs 3193).</w:t>
      </w:r>
    </w:p>
    <w:p>
      <w:pPr>
        <w:pStyle w:val="ListParagraph"/>
        <w:numPr>
          <w:ilvl w:val="0"/>
          <w:numId w:val="2"/>
        </w:numPr>
        <w:spacing w:after="60"/>
      </w:pPr>
      <w:r>
        <w:rPr>
          <w:rFonts w:ascii="Calibri" w:cs="Calibri" w:eastAsia="Calibri" w:hAnsi="Calibri"/>
        </w:rPr>
        <w:t xml:space="preserve">Absolute accuracy is low (best exact match 22%) because of the small model and the deliberately hard dataset; the evidence is in the paired differences, not the absolute levels.</w:t>
      </w:r>
    </w:p>
    <w:p>
      <w:pPr>
        <w:spacing w:after="120" w:line="276"/>
      </w:pPr>
      <w:r>
        <w:rPr>
          <w:rFonts w:ascii="Calibri" w:cs="Calibri" w:eastAsia="Calibri" w:hAnsi="Calibri"/>
          <w:b/>
          <w:bCs/>
        </w:rPr>
        <w:t xml:space="preserve">Status labels used in this addendum</w:t>
      </w:r>
      <w:r>
        <w:rPr>
          <w:rFonts w:ascii="Calibri" w:cs="Calibri" w:eastAsia="Calibri" w:hAnsi="Calibri"/>
        </w:rPr>
        <w:t xml:space="preserve"> follow the proposal: [PUBLISHED] for cited sources, [PROPOSED] for design choices, [HYPOTHESIS] for expectations, [UNVERIFIED] for unconfirmed material. Results below are </w:t>
      </w:r>
      <w:r>
        <w:rPr>
          <w:rFonts w:ascii="Calibri" w:cs="Calibri" w:eastAsia="Calibri" w:hAnsi="Calibri"/>
          <w:b/>
          <w:bCs/>
        </w:rPr>
        <w:t xml:space="preserve">pilot scale</w:t>
      </w:r>
      <w:r>
        <w:rPr>
          <w:rFonts w:ascii="Calibri" w:cs="Calibri" w:eastAsia="Calibri" w:hAnsi="Calibri"/>
        </w:rPr>
        <w:t xml:space="preserve"> and </w:t>
      </w:r>
      <w:r>
        <w:rPr>
          <w:rFonts w:ascii="Calibri" w:cs="Calibri" w:eastAsia="Calibri" w:hAnsi="Calibri"/>
          <w:b/>
          <w:bCs/>
        </w:rPr>
        <w:t xml:space="preserve">simulated</w:t>
      </w:r>
      <w:r>
        <w:rPr>
          <w:rFonts w:ascii="Calibri" w:cs="Calibri" w:eastAsia="Calibri" w:hAnsi="Calibri"/>
        </w:rPr>
        <w:t xml:space="preserve"> where stated.</w:t>
      </w:r>
    </w:p>
    <w:p>
      <w:pPr>
        <w:pStyle w:val="Heading1"/>
        <w:spacing w:after="140" w:before="280"/>
      </w:pPr>
      <w:r>
        <w:rPr>
          <w:rFonts w:ascii="Calibri" w:cs="Calibri" w:eastAsia="Calibri" w:hAnsi="Calibri"/>
        </w:rPr>
        <w:t xml:space="preserve">2.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300"/>
        <w:gridCol w:w="2026"/>
      </w:tblGrid>
      <w:tr>
        <w:trPr>
          <w:tblHeader/>
        </w:trPr>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Component</w:t>
            </w:r>
          </w:p>
        </w:tc>
        <w:tc>
          <w:tcPr>
            <w:tcW w:type="dxa" w:w="5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What it does</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Where</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Config layer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libconfig parser for OAI-style gNB files, security view, profile-aware oracle (ground truth), line-level patcher</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sectwin/conf</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Knowledge base</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34 clauses (TS 33.501 and O-RAN WG11 paraphrases, synthetic Operator Security Baseline, distractors) with SHA-256 provenance manifest</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sectwin/kb</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Dataset</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62 labelled configurations: clean, vendor default, single, multiple, decoy, context pair, noise; 45 test / 17 dev</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sectwin/dataset, data/</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Retrieval</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Clause-aware hybrid BM25 + nomic-embed-text with reciprocal-rank fusion</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sectwin/retrieval</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Agents</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Assessor, query generator, A0 scanner, verifier C1-C5, LLM critic, arms A0-A7 and A5x; local Qwen2.5-7B and Llama-3.1-8B via Ollama</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sectwin/agents</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SMT repair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 compiler + z3 Optimize: minimal configuration change that satisfies the cited clauses</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sectwin/repair</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Network twin</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Hexagonal multi-site 5G network, TR 38.901 UMa radio, handover, traffic, throughput/latency, AS security negotiation from each gNB's config, attackers, config drift, SMO loop</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sectwin/twin</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RL scheduler</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PPO policy deciding when to push verified fixes (exposure vs. disruption)</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sectwin/rl</w:t>
            </w:r>
          </w:p>
        </w:tc>
      </w:tr>
      <w:tr>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Dashboard</w:t>
            </w:r>
          </w:p>
        </w:tc>
        <w:tc>
          <w:tcPr>
            <w:tcW w:type="dxa" w:w="5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Network topology, assurance, compliance console, audit trail, experiments, inventory</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ui/, sectwin/api</w:t>
            </w:r>
          </w:p>
        </w:tc>
      </w:tr>
    </w:tbl>
    <w:p>
      <w:pPr>
        <w:spacing w:after="200"/>
      </w:pPr>
      <w:r>
        <w:rPr>
          <w:rFonts w:ascii="Calibri" w:cs="Calibri" w:eastAsia="Calibri" w:hAnsi="Calibri"/>
          <w:i/>
          <w:iCs/>
          <w:color w:val="4D5866"/>
          <w:sz w:val="18"/>
          <w:szCs w:val="18"/>
        </w:rPr>
        <w:t xml:space="preserve">Table 1. Components. All software runs locally on one laptop GPU (RTX 4060, 8 GB).</w:t>
      </w:r>
    </w:p>
    <w:p>
      <w:pPr>
        <w:pStyle w:val="Heading1"/>
        <w:spacing w:after="140" w:before="280"/>
      </w:pPr>
      <w:r>
        <w:rPr>
          <w:rFonts w:ascii="Calibri" w:cs="Calibri" w:eastAsia="Calibri" w:hAnsi="Calibri"/>
        </w:rPr>
        <w:t xml:space="preserve">3. Method</w:t>
      </w:r>
    </w:p>
    <w:p>
      <w:pPr>
        <w:pStyle w:val="Heading2"/>
        <w:spacing w:after="100" w:before="200"/>
      </w:pPr>
      <w:r>
        <w:rPr>
          <w:rFonts w:ascii="Calibri" w:cs="Calibri" w:eastAsia="Calibri" w:hAnsi="Calibri"/>
        </w:rPr>
        <w:t xml:space="preserve">3.1 Ground truth and deployment profiles</w:t>
      </w:r>
    </w:p>
    <w:p>
      <w:pPr>
        <w:spacing w:after="120" w:line="276"/>
      </w:pPr>
      <w:r>
        <w:rPr>
          <w:rFonts w:ascii="Calibri" w:cs="Calibri" w:eastAsia="Calibri" w:hAnsi="Calibri"/>
        </w:rPr>
        <w:t xml:space="preserve">[PROPOSED] A profile has two dimensions: whether unauthenticated emergency sessions are a regulatory requirement (from TS 33.501), and the baseline, either standards minimum or a stricter, explicitly synthetic Operator Security Baseline (OSB-1 to OSB-5). The same file can therefore be compliant under one profile and non-compliant under another; eight context-pair items test exactly this. drb_integrity = "no" is compliant under every profile because user-plane integrity is optional to use; it is the main decoy (gap G4 in the proposal).</w:t>
      </w:r>
    </w:p>
    <w:p>
      <w:pPr>
        <w:spacing w:after="120" w:line="276"/>
      </w:pPr>
      <w:r>
        <w:rPr>
          <w:rFonts w:ascii="Calibri" w:cs="Calibri" w:eastAsia="Calibri" w:hAnsi="Calibri"/>
        </w:rPr>
        <w:t xml:space="preserve">The oracle that labels the dataset is never available to an arm. The verifier's re-scan in C5 uses the naive A0 scanner, and A7's repair compiles only the clauses an arm itself cited.</w:t>
      </w:r>
    </w:p>
    <w:p>
      <w:pPr>
        <w:pStyle w:val="Heading2"/>
        <w:spacing w:after="100" w:before="200"/>
      </w:pPr>
      <w:r>
        <w:rPr>
          <w:rFonts w:ascii="Calibri" w:cs="Calibri" w:eastAsia="Calibri" w:hAnsi="Calibri"/>
        </w:rPr>
        <w:t xml:space="preserve">3.2 Reflection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Check</w:t>
            </w:r>
          </w:p>
        </w:tc>
        <w:tc>
          <w:tcPr>
            <w:tcW w:type="dxa" w:w="67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Deterministic test (no LLM)</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C1 schema</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Output validates against the Assessment schema</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C2 grounding</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Flagged parameter exists with the stated value and line</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C3 citation</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Clause was retrieved, its hash matches the trusted manifest, and the quote is in the clause text (fuzzy &gt;= 90)</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C4 strength / applicability</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 violation needs a shall / shall-not usage sentence about this parameter; rejects 'shall support' capability sentences, conditional 'when ... is used' requirements for switched-off features, algorithm sentences cited against on/off switches, and requirements already met by the current value</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C5 fix</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Legal value, file still parses, only flagged lines change, literal re-scan finds nothing new</w:t>
            </w:r>
          </w:p>
        </w:tc>
      </w:tr>
      <w:tr>
        <w:tc>
          <w:tcPr>
            <w:tcW w:type="dxa" w:w="2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critic</w:t>
            </w:r>
          </w:p>
        </w:tc>
        <w:tc>
          <w:tcPr>
            <w:tcW w:type="dxa" w:w="67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Looks for missed violations and scope errors; each claim must itself pass C3 and C4 before it is fed back</w:t>
            </w:r>
          </w:p>
        </w:tc>
      </w:tr>
    </w:tbl>
    <w:p>
      <w:pPr>
        <w:spacing w:after="200"/>
      </w:pPr>
      <w:r>
        <w:rPr>
          <w:rFonts w:ascii="Calibri" w:cs="Calibri" w:eastAsia="Calibri" w:hAnsi="Calibri"/>
          <w:i/>
          <w:iCs/>
          <w:color w:val="4D5866"/>
          <w:sz w:val="18"/>
          <w:szCs w:val="18"/>
        </w:rPr>
        <w:t xml:space="preserve">Table 2. Two-stage Reflection Agent. Findings still unverified after three rounds are dropped and the case is escalated.</w:t>
      </w:r>
    </w:p>
    <w:p>
      <w:pPr>
        <w:pStyle w:val="Heading2"/>
        <w:spacing w:after="100" w:before="200"/>
      </w:pPr>
      <w:r>
        <w:rPr>
          <w:rFonts w:ascii="Calibri" w:cs="Calibri" w:eastAsia="Calibri" w:hAnsi="Calibri"/>
        </w:rPr>
        <w:t xml:space="preserve">3.3 Arms and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rPr>
          <w:tblHeader/>
        </w:trPr>
        <w:tc>
          <w:tcPr>
            <w:tcW w:type="dxa" w:w="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8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Configuration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Rule-based literal scanner</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A1</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only</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A2</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LLM + RAG</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Agentic RAG (single agent)</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LLM-only reflection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verifier-grounded reflection</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 verifier only</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 SMT minimal repair</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A5x</w:t>
            </w:r>
          </w:p>
        </w:tc>
        <w:tc>
          <w:tcPr>
            <w:tcW w:type="dxa" w:w="8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with cross-family critic</w:t>
            </w:r>
          </w:p>
        </w:tc>
      </w:tr>
    </w:tbl>
    <w:p>
      <w:pPr>
        <w:spacing w:after="120" w:line="276"/>
      </w:pPr>
      <w:r>
        <w:rPr>
          <w:rFonts w:ascii="Calibri" w:cs="Calibri" w:eastAsia="Calibri" w:hAnsi="Calibri"/>
        </w:rPr>
        <w:t xml:space="preserve">Metrics: configuration-level accuracy, exact match of the violation set, parameter-level precision / recall / F1, citation correctness (clause exists, quote found, and the clause is one of the oracle's governing clauses for that parameter), fix correctness on non-compliant files (all violations resolved, none introduced, every UE capability class can still attach), unnecessary-change rate on compliant files, reflection flips (wrong-to-right vs right-to-wrong per parameter), latency and tokens. Uncertainty: 95% bootstrap intervals over configurations and exact McNemar tests on paired per-configuration outcomes.</w:t>
      </w:r>
    </w:p>
    <w:p>
      <w:pPr>
        <w:pStyle w:val="Heading1"/>
        <w:spacing w:after="140" w:before="280"/>
      </w:pPr>
      <w:r>
        <w:rPr>
          <w:rFonts w:ascii="Calibri" w:cs="Calibri" w:eastAsia="Calibri" w:hAnsi="Calibri"/>
        </w:rPr>
        <w:t xml:space="preserve">4. Results: compliance agents</w:t>
      </w:r>
    </w:p>
    <w:p>
      <w:pPr>
        <w:pStyle w:val="Heading2"/>
        <w:spacing w:after="100" w:before="200"/>
      </w:pPr>
      <w:r>
        <w:rPr>
          <w:rFonts w:ascii="Calibri" w:cs="Calibri" w:eastAsia="Calibri" w:hAnsi="Calibri"/>
        </w:rPr>
        <w:t xml:space="preserve">4.1 E1: detection, citation and fix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520"/>
        <w:gridCol w:w="720"/>
        <w:gridCol w:w="680"/>
        <w:gridCol w:w="600"/>
        <w:gridCol w:w="600"/>
        <w:gridCol w:w="1400"/>
        <w:gridCol w:w="760"/>
        <w:gridCol w:w="720"/>
        <w:gridCol w:w="840"/>
        <w:gridCol w:w="1006"/>
        <w:gridCol w:w="660"/>
      </w:tblGrid>
      <w:tr>
        <w:trPr>
          <w:tblHeader/>
        </w:trPr>
        <w:tc>
          <w:tcPr>
            <w:tcW w:type="dxa" w:w="5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5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Runs</w:t>
            </w:r>
          </w:p>
        </w:tc>
        <w:tc>
          <w:tcPr>
            <w:tcW w:type="dxa" w:w="7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Cfg acc.</w:t>
            </w:r>
          </w:p>
        </w:tc>
        <w:tc>
          <w:tcPr>
            <w:tcW w:type="dxa" w:w="68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Exact</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Prec.</w:t>
            </w:r>
          </w:p>
        </w:tc>
        <w:tc>
          <w:tcPr>
            <w:tcW w:type="dxa" w:w="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Rec.</w:t>
            </w:r>
          </w:p>
        </w:tc>
        <w:tc>
          <w:tcPr>
            <w:tcW w:type="dxa" w:w="14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F1 [95% CI]</w:t>
            </w:r>
          </w:p>
        </w:tc>
        <w:tc>
          <w:tcPr>
            <w:tcW w:type="dxa" w:w="7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Cite ok</w:t>
            </w:r>
          </w:p>
        </w:tc>
        <w:tc>
          <w:tcPr>
            <w:tcW w:type="dxa" w:w="72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Fix ok</w:t>
            </w:r>
          </w:p>
        </w:tc>
        <w:tc>
          <w:tcPr>
            <w:tcW w:type="dxa" w:w="84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Unneeded</w:t>
            </w:r>
          </w:p>
        </w:tc>
        <w:tc>
          <w:tcPr>
            <w:tcW w:type="dxa" w:w="10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Flips W&gt;R/R&gt;W</w:t>
            </w:r>
          </w:p>
        </w:tc>
        <w:tc>
          <w:tcPr>
            <w:tcW w:type="dxa" w:w="66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46.7%</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0.88</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0.41 [0.26, 0.53]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13.3%</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64.7%</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85.7%</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A1</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47</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36.2%</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0.92</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0.24 [0.15, 0.33]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11.8%</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A2</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47</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36.2%</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0.92</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0.24 [0.15, 0.33]</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4.2%</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69</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47</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36.2%</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0.96</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 [0.16, 0.34]</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66</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47</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38.3%</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0.15</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0.88</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 [0.16, 0.35]</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96.7%</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35/21</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182</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43.5%</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0.64</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0.34 [0.19, 0.46]</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23.5%</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75.9%</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82/8</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151</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41.3%</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0.24</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0.72</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0.36 [0.22, 0.50]</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21.6%</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82.8%</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80/6</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63</w:t>
            </w:r>
          </w:p>
        </w:tc>
      </w:tr>
      <w:tr>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5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43.5%</w:t>
            </w:r>
          </w:p>
        </w:tc>
        <w:tc>
          <w:tcPr>
            <w:tcW w:type="dxa" w:w="68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21.7%</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0.23</w:t>
            </w:r>
          </w:p>
        </w:tc>
        <w:tc>
          <w:tcPr>
            <w:tcW w:type="dxa" w:w="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0.64</w:t>
            </w:r>
          </w:p>
        </w:tc>
        <w:tc>
          <w:tcPr>
            <w:tcW w:type="dxa" w:w="1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0.34 [0.19, 0.46]</w:t>
            </w:r>
          </w:p>
        </w:tc>
        <w:tc>
          <w:tcPr>
            <w:tcW w:type="dxa" w:w="7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20.0%</w:t>
            </w:r>
          </w:p>
        </w:tc>
        <w:tc>
          <w:tcPr>
            <w:tcW w:type="dxa" w:w="72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47.1%</w:t>
            </w:r>
          </w:p>
        </w:tc>
        <w:tc>
          <w:tcPr>
            <w:tcW w:type="dxa" w:w="84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31.0%</w:t>
            </w:r>
          </w:p>
        </w:tc>
        <w:tc>
          <w:tcPr>
            <w:tcW w:type="dxa" w:w="10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82/8</w:t>
            </w:r>
          </w:p>
        </w:tc>
        <w:tc>
          <w:tcPr>
            <w:tcW w:type="dxa" w:w="66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151</w:t>
            </w:r>
          </w:p>
        </w:tc>
      </w:tr>
    </w:tbl>
    <w:p>
      <w:pPr>
        <w:spacing w:after="200"/>
      </w:pPr>
      <w:r>
        <w:rPr>
          <w:rFonts w:ascii="Calibri" w:cs="Calibri" w:eastAsia="Calibri" w:hAnsi="Calibri"/>
          <w:i/>
          <w:iCs/>
          <w:color w:val="4D5866"/>
          <w:sz w:val="18"/>
          <w:szCs w:val="18"/>
        </w:rPr>
        <w:t xml:space="preserve">Table 3. E1 on the held-out test split. Fix ok is measured on non-compliant files, Unneeded on compliant files.</w:t>
      </w:r>
    </w:p>
    <w:p>
      <w:pPr>
        <w:spacing w:after="40" w:before="80"/>
        <w:jc w:val="center"/>
      </w:pPr>
      <w:r>
        <w:drawing>
          <wp:inline distT="0" distB="0" distL="0" distR="0">
            <wp:extent cx="5715000" cy="2105025"/>
            <wp:effectExtent t="0" r="0" b="0" l="0"/>
            <wp:docPr id="1" name="e1_quality.png" descr="e1_quality.png" title="e1_qua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05025"/>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1. Detection quality by arm.</w:t>
      </w:r>
    </w:p>
    <w:p>
      <w:pPr>
        <w:spacing w:after="40" w:before="80"/>
        <w:jc w:val="center"/>
      </w:pPr>
      <w:r>
        <w:drawing>
          <wp:inline distT="0" distB="0" distL="0" distR="0">
            <wp:extent cx="4476750" cy="2095500"/>
            <wp:effectExtent t="0" r="0" b="0" l="0"/>
            <wp:docPr id="1" name="e1_categories.png" descr="e1_categories.png" title="e1_categ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09550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2. Exact-match accuracy by configuration category.</w:t>
      </w:r>
    </w:p>
    <w:p>
      <w:pPr>
        <w:spacing w:after="120" w:line="276"/>
      </w:pPr>
      <w:r>
        <w:rPr>
          <w:rFonts w:ascii="Calibri" w:cs="Calibri" w:eastAsia="Calibri" w:hAnsi="Calibri"/>
        </w:rPr>
        <w:t xml:space="preserve">Precision is the limiting factor for every LLM arm: A1-A3 produce 132-138 false violations against 23-24 true ones across 45 files, mostly on drb_integrity, integrity and ciphering lists. Retrieval (A2) and query generation (A3) did not change this with a 7B model.</w:t>
      </w:r>
    </w:p>
    <w:p>
      <w:pPr>
        <w:spacing w:after="120" w:line="276"/>
      </w:pPr>
      <w:r>
        <w:rPr>
          <w:rFonts w:ascii="Calibri" w:cs="Calibri" w:eastAsia="Calibri" w:hAnsi="Calibri"/>
        </w:rPr>
        <w:t xml:space="preserve">The verifier's C4 applicability check removed most false positives; 78-84% of A5/A6 runs ended with at least one finding that could not be verified within three rounds and was dropped (escalation). The revision step itself rarely changed the model's answer, so the gain comes from filtering by checkable evidence rather than from the model learning from feedback.</w:t>
      </w:r>
    </w:p>
    <w:p>
      <w:pPr>
        <w:spacing w:after="120" w:line="276"/>
      </w:pPr>
      <w:r>
        <w:rPr>
          <w:rFonts w:ascii="Calibri" w:cs="Calibri" w:eastAsia="Calibri" w:hAnsi="Calibri"/>
        </w:rPr>
        <w:t xml:space="preserve">Decoys and context pairs separate the arms: A0-A3 solved none, A5 solved 38% of decoys and 14% of context pairs. Vendor-default files (OAI sample values) were solved by no arm.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26"/>
      </w:tblGrid>
      <w:tr>
        <w:trPr>
          <w:tblHeader/>
        </w:trPr>
        <w:tc>
          <w:tcPr>
            <w:tcW w:type="dxa" w:w="3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Comparison</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Only first correct</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Only second correct</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 (exact McNemar)</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vs A1</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 vs A2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A4</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0.0078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0.0078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 vs A6</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 vs 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0.0312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 vs 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0.3877</w:t>
            </w:r>
          </w:p>
        </w:tc>
      </w:tr>
    </w:tbl>
    <w:p>
      <w:pPr>
        <w:spacing w:after="200"/>
      </w:pPr>
      <w:r>
        <w:rPr>
          <w:rFonts w:ascii="Calibri" w:cs="Calibri" w:eastAsia="Calibri" w:hAnsi="Calibri"/>
          <w:i/>
          <w:iCs/>
          <w:color w:val="4D5866"/>
          <w:sz w:val="18"/>
          <w:szCs w:val="18"/>
        </w:rPr>
        <w:t xml:space="preserve">Table 4. Paired tests on per-configuration exact-match correctness.</w:t>
      </w:r>
    </w:p>
    <w:p>
      <w:pPr>
        <w:pStyle w:val="Heading2"/>
        <w:spacing w:after="100" w:before="200"/>
      </w:pPr>
      <w:r>
        <w:rPr>
          <w:rFonts w:ascii="Calibri" w:cs="Calibri" w:eastAsia="Calibri" w:hAnsi="Calibri"/>
        </w:rPr>
        <w:t xml:space="preserve">4.2 E2: metamorphic robustness and prompt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000"/>
        <w:gridCol w:w="2000"/>
        <w:gridCol w:w="2126"/>
      </w:tblGrid>
      <w:tr>
        <w:trPr>
          <w:tblHeader/>
        </w:trPr>
        <w:tc>
          <w:tcPr>
            <w:tcW w:type="dxa" w:w="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Group order</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Extra settings</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Comments changed</w:t>
            </w:r>
          </w:p>
        </w:tc>
        <w:tc>
          <w:tcPr>
            <w:tcW w:type="dxa" w:w="2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Injected auditor note</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8%)</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0%)</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(acc 0%)</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 (acc 0%)</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82% (acc 0%)</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73% (acc 0%)</w:t>
            </w:r>
          </w:p>
        </w:tc>
      </w:tr>
      <w:tr>
        <w:tc>
          <w:tcPr>
            <w:tcW w:type="dxa" w:w="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73% (acc 27%)</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64% (acc 27%)</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18% (acc 27%)</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 (acc 27%)</w:t>
            </w:r>
          </w:p>
        </w:tc>
      </w:tr>
    </w:tbl>
    <w:p>
      <w:pPr>
        <w:spacing w:after="200"/>
      </w:pPr>
      <w:r>
        <w:rPr>
          <w:rFonts w:ascii="Calibri" w:cs="Calibri" w:eastAsia="Calibri" w:hAnsi="Calibri"/>
          <w:i/>
          <w:iCs/>
          <w:color w:val="4D5866"/>
          <w:sz w:val="18"/>
          <w:szCs w:val="18"/>
        </w:rPr>
        <w:t xml:space="preserve">Table 5. Share of runs whose verdict is unchanged versus the original file (accuracy on the variant in brackets).</w:t>
      </w:r>
    </w:p>
    <w:p>
      <w:pPr>
        <w:pStyle w:val="Heading2"/>
        <w:spacing w:after="100" w:before="200"/>
      </w:pPr>
      <w:r>
        <w:rPr>
          <w:rFonts w:ascii="Calibri" w:cs="Calibri" w:eastAsia="Calibri" w:hAnsi="Calibri"/>
        </w:rPr>
        <w:t xml:space="preserve">4.3 E3: poisoned knowledge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1300"/>
        <w:gridCol w:w="1700"/>
        <w:gridCol w:w="1500"/>
        <w:gridCol w:w="1500"/>
        <w:gridCol w:w="1426"/>
      </w:tblGrid>
      <w:tr>
        <w:trPr>
          <w:tblHeader/>
        </w:trPr>
        <w:tc>
          <w:tcPr>
            <w:tcW w:type="dxa" w:w="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Runs</w:t>
            </w:r>
          </w:p>
        </w:tc>
        <w:tc>
          <w:tcPr>
            <w:tcW w:type="dxa" w:w="1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Poison retrieved</w:t>
            </w:r>
          </w:p>
        </w:tc>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Findings citing poison</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Verdict changed</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Correct to wrong</w:t>
            </w:r>
          </w:p>
        </w:tc>
        <w:tc>
          <w:tcPr>
            <w:tcW w:type="dxa" w:w="14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Accuracy</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r>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w:t>
            </w:r>
          </w:p>
        </w:tc>
        <w:tc>
          <w:tcPr>
            <w:tcW w:type="dxa" w:w="14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w:t>
            </w:r>
          </w:p>
        </w:tc>
      </w:tr>
    </w:tbl>
    <w:p>
      <w:pPr>
        <w:spacing w:after="200"/>
      </w:pPr>
      <w:r>
        <w:rPr>
          <w:rFonts w:ascii="Calibri" w:cs="Calibri" w:eastAsia="Calibri" w:hAnsi="Calibri"/>
          <w:i/>
          <w:iCs/>
          <w:color w:val="4D5866"/>
          <w:sz w:val="18"/>
          <w:szCs w:val="18"/>
        </w:rPr>
        <w:t xml:space="preserve">Table 6. Five fake or tampered clauses added to the corpus; the trusted manifest is unchanged.</w:t>
      </w:r>
    </w:p>
    <w:p>
      <w:pPr>
        <w:pStyle w:val="Heading1"/>
        <w:spacing w:after="140" w:before="280"/>
      </w:pPr>
      <w:r>
        <w:rPr>
          <w:rFonts w:ascii="Calibri" w:cs="Calibri" w:eastAsia="Calibri" w:hAnsi="Calibri"/>
        </w:rPr>
        <w:t xml:space="preserve">5. Network digital twin</w:t>
      </w:r>
    </w:p>
    <w:p>
      <w:pPr>
        <w:spacing w:after="120" w:line="276"/>
      </w:pPr>
      <w:r>
        <w:rPr>
          <w:rFonts w:ascii="Calibri" w:cs="Calibri" w:eastAsia="Calibri" w:hAnsi="Calibri"/>
        </w:rPr>
        <w:t xml:space="preserve">[PROPOSED] The twin answers the question the proposal could not: what a compliance error costs in a running network. Each gNB carries a full configuration file; at every attach and handover the gNB selects the first algorithm in its configured list that the UE supports (TS 33.501 6.7.3). A wrong configuration therefore produces null-ciphered user traffic, RRC signalling on NIA0 (spoofable), or UEs that cannot attach.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Aspect</w:t>
            </w:r>
          </w:p>
        </w:tc>
        <w:tc>
          <w:tcPr>
            <w:tcW w:type="dxa" w:w="7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Model</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Layout</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Hexagonal tri-sector macro grid, configurable sites (7/19/37) and inter-site distance; 3.5 GHz, 100 MHz, 49 dBm per sector</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Propagation</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TR 38.901 UMa path loss (LOS-probability weighted), 6 dB shadowing, 50 m decorrelation, 0.5 inter-site correlation, 3GPP sector pattern</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Link and scheduling</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0.75 x Shannon capped at 7.4 b/s/Hz, rank 2 above 12 dB, 14% overhead; water-filling time-share scheduler per cell</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Mobility</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Static, pedestrian (0.8-1.8 m/s), vehicular (8-17 m/s) random waypoint; A3 handover (4 dB, L3 filter, TTT); T310-style RLF</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Traffic</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Video, web, VoIP, IoT, bulk, fixed wireless access with a diurnal busy-hour profile; TCP-limited queues</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Security</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Algorithm selection from each gNB's file at attach and handover; PDCP MAC-I overhead when UP integrity is on; IPsec processing on N3</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Threats</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Passive sniffer, RRC injector (succeeds only against NIA0), backhaul tap (N3 without IPsec), O1 man-in-the-middle pushing malicious configs over plaintext O1</w:t>
            </w:r>
          </w:p>
        </w:tc>
      </w:tr>
      <w:tr>
        <w:tc>
          <w:tcPr>
            <w:tcW w:type="dxa" w:w="19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SMO loop</w:t>
            </w:r>
          </w:p>
        </w:tc>
        <w:tc>
          <w:tcPr>
            <w:tcW w:type="dxa" w:w="7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O1 change notification, one assessment at a time on the GPU, human approval delay, remediation policy, outage on push, 24 h manual audit</w:t>
            </w:r>
          </w:p>
        </w:tc>
      </w:tr>
    </w:tbl>
    <w:p>
      <w:pPr>
        <w:spacing w:after="200"/>
      </w:pPr>
      <w:r>
        <w:rPr>
          <w:rFonts w:ascii="Calibri" w:cs="Calibri" w:eastAsia="Calibri" w:hAnsi="Calibri"/>
          <w:i/>
          <w:iCs/>
          <w:color w:val="4D5866"/>
          <w:sz w:val="18"/>
          <w:szCs w:val="18"/>
        </w:rPr>
        <w:t xml:space="preserve">Table 7. Twin model summary (system-level simulator, not a protocol stack).</w:t>
      </w:r>
    </w:p>
    <w:p>
      <w:pPr>
        <w:spacing w:after="40" w:before="80"/>
        <w:jc w:val="center"/>
      </w:pPr>
      <w:r>
        <w:drawing>
          <wp:inline distT="0" distB="0" distL="0" distR="0">
            <wp:extent cx="4000500" cy="2381250"/>
            <wp:effectExtent t="0" r="0" b="0" l="0"/>
            <wp:docPr id="1" name="ns3_sinr_cdf.png" descr="ns3_sinr_cdf.png" title="ns3_sinr_cd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8125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3. Downlink SINR distribution of the twin against ns-3 5G-LENA (3GPP calibration example) on the same layout.</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3000"/>
        <w:gridCol w:w="1506"/>
        <w:gridCol w:w="1506"/>
        <w:gridCol w:w="1506"/>
        <w:gridCol w:w="1506"/>
      </w:tblGrid>
      <w:tr>
        <w:trPr>
          <w:tblHeader/>
        </w:trPr>
        <w:tc>
          <w:tcPr>
            <w:tcW w:type="dxa" w:w="3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Quantity</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SecTwin</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default</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1x1 omni</w:t>
            </w:r>
          </w:p>
        </w:tc>
        <w:tc>
          <w:tcPr>
            <w:tcW w:type="dxa" w:w="150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ns-3 closest</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p5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-28.1</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p10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-24.7</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p50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p90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16.1</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27.3</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7.6</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24.8</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p95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20</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29.2</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SINR mean (dB)</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-8.9</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UEs</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2850</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195</w:t>
            </w:r>
          </w:p>
        </w:tc>
      </w:tr>
      <w:tr>
        <w:tc>
          <w:tcPr>
            <w:tcW w:type="dxa" w:w="3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KS distance to twin</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0.305</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0.654</w:t>
            </w:r>
          </w:p>
        </w:tc>
        <w:tc>
          <w:tcPr>
            <w:tcW w:type="dxa" w:w="150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0.265</w:t>
            </w:r>
          </w:p>
        </w:tc>
      </w:tr>
    </w:tbl>
    <w:p>
      <w:pPr>
        <w:spacing w:after="200"/>
      </w:pPr>
      <w:r>
        <w:rPr>
          <w:rFonts w:ascii="Calibri" w:cs="Calibri" w:eastAsia="Calibri" w:hAnsi="Calibri"/>
          <w:i/>
          <w:iCs/>
          <w:color w:val="4D5866"/>
          <w:sz w:val="18"/>
          <w:szCs w:val="18"/>
        </w:rPr>
        <w:t xml:space="preserve">Table 8. Radio cross-check against ns-3 5G-LENA (3GPP outdoor calibration example).</w:t>
      </w:r>
    </w:p>
    <w:p>
      <w:pPr>
        <w:pStyle w:val="ListParagraph"/>
        <w:numPr>
          <w:ilvl w:val="0"/>
          <w:numId w:val="2"/>
        </w:numPr>
        <w:spacing w:after="60"/>
      </w:pPr>
      <w:r>
        <w:rPr>
          <w:rFonts w:ascii="Calibri" w:cs="Calibri" w:eastAsia="Calibri" w:hAnsi="Calibri"/>
        </w:rPr>
        <w:t xml:space="preserve">Reference comparisons: ns3_default (5G-LENA defaults: antenna arrays with beamforming, fast fading) and ns3_closest (same, UEs attached to the closest gNB). Median per-UE SINR: twin 3.9 dB, ns-3 4.6 dB and 5.6 dB.</w:t>
      </w:r>
    </w:p>
    <w:p>
      <w:pPr>
        <w:pStyle w:val="ListParagraph"/>
        <w:numPr>
          <w:ilvl w:val="0"/>
          <w:numId w:val="2"/>
        </w:numPr>
        <w:spacing w:after="60"/>
      </w:pPr>
      <w:r>
        <w:rPr>
          <w:rFonts w:ascii="Calibri" w:cs="Calibri" w:eastAsia="Calibri" w:hAnsi="Calibri"/>
        </w:rPr>
        <w:t xml:space="preserve">Upper tail: ns-3 reaches higher SINR (p90 25-27 dB vs 16 dB) because its antenna arrays add beamforming gain that the twin's single sector element does not model.</w:t>
      </w:r>
    </w:p>
    <w:p>
      <w:pPr>
        <w:pStyle w:val="ListParagraph"/>
        <w:numPr>
          <w:ilvl w:val="0"/>
          <w:numId w:val="2"/>
        </w:numPr>
        <w:spacing w:after="60"/>
      </w:pPr>
      <w:r>
        <w:rPr>
          <w:rFonts w:ascii="Calibri" w:cs="Calibri" w:eastAsia="Calibri" w:hAnsi="Calibri"/>
        </w:rPr>
        <w:t xml:space="preserve">Lower tail: about 20% of ns-3 UEs are below -15 dB in every ns-3 configuration, including attach-to-closest; the twin has no such tail. The cause (beam selection under full-buffer interference, or how the example records SINR) was not resolved within this build and is listed as an open item.</w:t>
      </w:r>
    </w:p>
    <w:p>
      <w:pPr>
        <w:pStyle w:val="ListParagraph"/>
        <w:numPr>
          <w:ilvl w:val="0"/>
          <w:numId w:val="2"/>
        </w:numPr>
        <w:spacing w:after="60"/>
      </w:pPr>
      <w:r>
        <w:rPr>
          <w:rFonts w:ascii="Calibri" w:cs="Calibri" w:eastAsia="Calibri" w:hAnsi="Calibri"/>
        </w:rPr>
        <w:t xml:space="preserve">ns3_matched (1x1 array, omnidirectional beam) removes the sector directivity the twin models; it is not like-for-like and is shown only for transparency.</w:t>
      </w:r>
    </w:p>
    <w:p>
      <w:pPr>
        <w:pStyle w:val="ListParagraph"/>
        <w:numPr>
          <w:ilvl w:val="0"/>
          <w:numId w:val="2"/>
        </w:numPr>
        <w:spacing w:after="60"/>
      </w:pPr>
      <w:r>
        <w:rPr>
          <w:rFonts w:ascii="Calibri" w:cs="Calibri" w:eastAsia="Calibri" w:hAnsi="Calibri"/>
        </w:rPr>
        <w:t xml:space="preserve">Samples: ns-3 195 UEs with SINR reports (of 285 dropped); twin 2850 UEs. ns-3.48 + 5G-LENA v5.1, cttc-nr-3gpp-calibration-user.</w:t>
      </w:r>
    </w:p>
    <w:p>
      <w:pPr>
        <w:spacing w:after="120" w:line="276"/>
      </w:pPr>
      <w:r>
        <w:rPr>
          <w:rFonts w:ascii="Calibri" w:cs="Calibri" w:eastAsia="Calibri" w:hAnsi="Calibri"/>
        </w:rPr>
        <w:t xml:space="preserve">The twin's median SINR (3.9 dB) lies within 0.7-1.7 dB of ns-3 5G-LENA on the same layout, which supports its use for relative comparisons. The tails differ: ns-3's beamforming arrays reach higher SINR, and ns-3 shows a low-SINR tail of unresolved origin. Absolute radio KPIs from the twin are therefore indicative only.</w:t>
      </w:r>
    </w:p>
    <w:p>
      <w:pPr>
        <w:pStyle w:val="Heading2"/>
        <w:spacing w:after="100" w:before="200"/>
      </w:pPr>
      <w:r>
        <w:rPr>
          <w:rFonts w:ascii="Calibri" w:cs="Calibri" w:eastAsia="Calibri" w:hAnsi="Calibri"/>
        </w:rPr>
        <w:t xml:space="preserve">5.1 E5: cost of security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800"/>
        <w:gridCol w:w="2126"/>
      </w:tblGrid>
      <w:tr>
        <w:trPr>
          <w:tblHeader/>
        </w:trPr>
        <w:tc>
          <w:tcPr>
            <w:tcW w:type="dxa" w:w="34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Setting</w:t>
            </w:r>
          </w:p>
        </w:tc>
        <w:tc>
          <w:tcPr>
            <w:tcW w:type="dxa" w:w="1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Goodput ratio</w:t>
            </w:r>
          </w:p>
        </w:tc>
        <w:tc>
          <w:tcPr>
            <w:tcW w:type="dxa" w:w="1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VoIP header overhead</w:t>
            </w:r>
          </w:p>
        </w:tc>
        <w:tc>
          <w:tcPr>
            <w:tcW w:type="dxa" w:w="21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Latency p50 / p95 / p99 (ms)</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Baseline (UP integrity off, N3 IPsec)</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99.49%</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 / 65.9 / 286.48</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UP integrity on</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99.20%</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5.95 / 65.95 / 286.53</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N3 IPsec off</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99.49%</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5.8 / 65.8 / 286.38</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VoIP-heavy, UP integrity off</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99.46%</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6.54%</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 / 5.9 / 65.9</w:t>
            </w:r>
          </w:p>
        </w:tc>
      </w:tr>
      <w:tr>
        <w:tc>
          <w:tcPr>
            <w:tcW w:type="dxa" w:w="34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VoIP-heavy, UP integrity on</w:t>
            </w:r>
          </w:p>
        </w:tc>
        <w:tc>
          <w:tcPr>
            <w:tcW w:type="dxa" w:w="1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99.15%</w:t>
            </w:r>
          </w:p>
        </w:tc>
        <w:tc>
          <w:tcPr>
            <w:tcW w:type="dxa" w:w="1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9.91%</w:t>
            </w:r>
          </w:p>
        </w:tc>
        <w:tc>
          <w:tcPr>
            <w:tcW w:type="dxa" w:w="21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5.95 / 5.95 / 65.95</w:t>
            </w:r>
          </w:p>
        </w:tc>
      </w:tr>
    </w:tbl>
    <w:p>
      <w:pPr>
        <w:spacing w:after="200"/>
      </w:pPr>
      <w:r>
        <w:rPr>
          <w:rFonts w:ascii="Calibri" w:cs="Calibri" w:eastAsia="Calibri" w:hAnsi="Calibri"/>
          <w:i/>
          <w:iCs/>
          <w:color w:val="4D5866"/>
          <w:sz w:val="18"/>
          <w:szCs w:val="18"/>
        </w:rPr>
        <w:t xml:space="preserve">Table 9. Busy hour, 19 sites, 1500 UEs, 20 simulated minutes per setting.</w:t>
      </w:r>
    </w:p>
    <w:p>
      <w:pPr>
        <w:spacing w:after="120" w:line="276"/>
      </w:pPr>
      <w:r>
        <w:rPr>
          <w:rFonts w:ascii="Calibri" w:cs="Calibri" w:eastAsia="Calibri" w:hAnsi="Calibri"/>
        </w:rPr>
        <w:t xml:space="preserve">User-plane integrity protection costs 0.29 percentage points of total goodput and raises VoIP header overhead from 6.5% to 9.9% (4-byte MAC-I on small packets), with 0.05 ms added latency. In this model the performance argument for leaving UP integrity off is weak; the cost concentrates on small-packet traffic.</w:t>
      </w:r>
    </w:p>
    <w:p>
      <w:pPr>
        <w:pStyle w:val="Heading2"/>
        <w:spacing w:after="100" w:before="200"/>
      </w:pPr>
      <w:r>
        <w:rPr>
          <w:rFonts w:ascii="Calibri" w:cs="Calibri" w:eastAsia="Calibri" w:hAnsi="Calibri"/>
        </w:rPr>
        <w:t xml:space="preserve">5.2 E4: closed loop, compliance agent inside the network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150"/>
        <w:gridCol w:w="1100"/>
        <w:gridCol w:w="1150"/>
        <w:gridCol w:w="1250"/>
        <w:gridCol w:w="1300"/>
        <w:gridCol w:w="1276"/>
      </w:tblGrid>
      <w:tr>
        <w:trPr>
          <w:tblHeader/>
        </w:trPr>
        <w:tc>
          <w:tcPr>
            <w:tcW w:type="dxa" w:w="7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Arm</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Unciph. UE-h</w:t>
            </w:r>
          </w:p>
        </w:tc>
        <w:tc>
          <w:tcPr>
            <w:tcW w:type="dxa" w:w="11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Spoofable UE-h</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GB intercepted</w:t>
            </w:r>
          </w:p>
        </w:tc>
        <w:tc>
          <w:tcPr>
            <w:tcW w:type="dxa" w:w="11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Attacks succeeded</w:t>
            </w:r>
          </w:p>
        </w:tc>
        <w:tc>
          <w:tcPr>
            <w:tcW w:type="dxa" w:w="125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Non-compl. site-h</w:t>
            </w:r>
          </w:p>
        </w:tc>
        <w:tc>
          <w:tcPr>
            <w:tcW w:type="dxa" w:w="13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Pushes (unneeded)</w:t>
            </w:r>
          </w:p>
        </w:tc>
        <w:tc>
          <w:tcPr>
            <w:tcW w:type="dxa" w:w="127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UEs displaced by fixes</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none</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310.7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166.2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56.7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1970.3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 (0.0)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A0</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22.4</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50.0 (20.0)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3604.0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A3</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96.3</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194.2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44.6</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2313.3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52.3</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49.0 (19.7)</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3820.7</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A4</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126.4</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194.6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54.5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2313.3</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52.9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46.7 (19.0)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3687.3</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A5</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148.9</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163.1</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44.6</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37.0 (19.3)</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3193.0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145.7</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39.1</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1398.0</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45.1</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38.7 (20.0)</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3310.0</w:t>
            </w:r>
          </w:p>
        </w:tc>
      </w:tr>
      <w:tr>
        <w:tc>
          <w:tcPr>
            <w:tcW w:type="dxa" w:w="7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A7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149.5</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152.7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22.8</w:t>
            </w:r>
          </w:p>
        </w:tc>
        <w:tc>
          <w:tcPr>
            <w:tcW w:type="dxa" w:w="11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1396.7</w:t>
            </w:r>
          </w:p>
        </w:tc>
        <w:tc>
          <w:tcPr>
            <w:tcW w:type="dxa" w:w="125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24.9</w:t>
            </w:r>
          </w:p>
        </w:tc>
        <w:tc>
          <w:tcPr>
            <w:tcW w:type="dxa" w:w="13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 (0.3)</w:t>
            </w:r>
          </w:p>
        </w:tc>
        <w:tc>
          <w:tcPr>
            <w:tcW w:type="dxa" w:w="127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891.7</w:t>
            </w:r>
          </w:p>
        </w:tc>
      </w:tr>
    </w:tbl>
    <w:p>
      <w:pPr>
        <w:spacing w:after="200"/>
      </w:pPr>
      <w:r>
        <w:rPr>
          <w:rFonts w:ascii="Calibri" w:cs="Calibri" w:eastAsia="Calibri" w:hAnsi="Calibri"/>
          <w:i/>
          <w:iCs/>
          <w:color w:val="4D5866"/>
          <w:sz w:val="18"/>
          <w:szCs w:val="18"/>
        </w:rPr>
        <w:t xml:space="preserve">Table 10. Mean over seeds 11, 12, 13; 6 simulated hours per run. Within a seed every arm sees the same mobility, traffic, drift and attacks; agent outcomes and latencies are replayed from E1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26"/>
      </w:tblGrid>
      <w:tr>
        <w:trPr>
          <w:tblHeader/>
        </w:trPr>
        <w:tc>
          <w:tcPr>
            <w:tcW w:type="dxa" w:w="2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Remediation policy (A5)</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Unciph.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Spoofable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Attacks succeeded</w:t>
            </w:r>
          </w:p>
        </w:tc>
        <w:tc>
          <w:tcPr>
            <w:tcW w:type="dxa" w:w="16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UEs displaced by fixes</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window</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297.2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152.2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1398.3</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255.3</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rl</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151.7</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162.8</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1410.3</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2949.7</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148.9</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163.1</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1398.7</w:t>
            </w:r>
          </w:p>
        </w:tc>
        <w:tc>
          <w:tcPr>
            <w:tcW w:type="dxa" w:w="16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3193.0</w:t>
            </w:r>
          </w:p>
        </w:tc>
      </w:tr>
    </w:tbl>
    <w:p>
      <w:pPr>
        <w:spacing w:after="200"/>
      </w:pPr>
      <w:r>
        <w:rPr>
          <w:rFonts w:ascii="Calibri" w:cs="Calibri" w:eastAsia="Calibri" w:hAnsi="Calibri"/>
          <w:i/>
          <w:iCs/>
          <w:color w:val="4D5866"/>
          <w:sz w:val="18"/>
          <w:szCs w:val="18"/>
        </w:rPr>
        <w:t xml:space="preserve">Table 11. Remediation timing inside the twin, same seeds.</w:t>
      </w:r>
    </w:p>
    <w:p>
      <w:pPr>
        <w:spacing w:after="40" w:before="80"/>
        <w:jc w:val="center"/>
      </w:pPr>
      <w:r>
        <w:drawing>
          <wp:inline distT="0" distB="0" distL="0" distR="0">
            <wp:extent cx="5905500" cy="1714500"/>
            <wp:effectExtent t="0" r="0" b="0" l="0"/>
            <wp:docPr id="1" name="e4_closed_loop.png" descr="e4_closed_loop.png" title="e4_closed_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71450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4. Exposure and disruption per arm.</w:t>
      </w:r>
    </w:p>
    <w:p>
      <w:pPr>
        <w:spacing w:after="40" w:before="80"/>
        <w:jc w:val="center"/>
      </w:pPr>
      <w:r>
        <w:drawing>
          <wp:inline distT="0" distB="0" distL="0" distR="0">
            <wp:extent cx="4953000" cy="1847850"/>
            <wp:effectExtent t="0" r="0" b="0" l="0"/>
            <wp:docPr id="1" name="e4_timeline.png" descr="e4_timeline.png" title="e4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47850"/>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5. Active UEs on an unciphered user plane over time.</w:t>
      </w:r>
    </w:p>
    <w:p>
      <w:pPr>
        <w:spacing w:after="120" w:line="276"/>
      </w:pPr>
      <w:r>
        <w:rPr>
          <w:rFonts w:ascii="Calibri" w:cs="Calibri" w:eastAsia="Calibri" w:hAnsi="Calibri"/>
        </w:rPr>
        <w:t xml:space="preserve">Every arm saw the same mobility, traffic, config drift and attacks within a seed (common random numbers, verified), so differences come from the agent. Values are means over seeds 11-13; per-seed values are in results/e4_twin.json.</w:t>
      </w:r>
    </w:p>
    <w:p>
      <w:pPr>
        <w:spacing w:after="120" w:line="276"/>
      </w:pPr>
      <w:r>
        <w:rPr>
          <w:rFonts w:ascii="Calibri" w:cs="Calibri" w:eastAsia="Calibri" w:hAnsi="Calibri"/>
        </w:rPr>
        <w:t xml:space="preserve">Under the operator-hardened profile used here, the literal rule scanner (A0) minimised exposure (6 unciphered active UE-hours vs 311 with no agent) because almost every insecure literal value is also a violation in that profile. Its cost is about 20 unnecessary fix pushes per 6 hours on compliant gNBs.</w:t>
      </w:r>
    </w:p>
    <w:p>
      <w:pPr>
        <w:spacing w:after="120" w:line="276"/>
      </w:pPr>
      <w:r>
        <w:rPr>
          <w:rFonts w:ascii="Calibri" w:cs="Calibri" w:eastAsia="Calibri" w:hAnsi="Calibri"/>
        </w:rPr>
        <w:t xml:space="preserve">Verifier-grounded arms reduced successful RRC injection attacks by about 40% compared with A3 (1399 vs 2313) but, with lower recall, left more null-ciphered traffic than A3 (149 vs 96 UE-hours).</w:t>
      </w:r>
    </w:p>
    <w:p>
      <w:pPr>
        <w:spacing w:after="120" w:line="276"/>
      </w:pPr>
      <w:r>
        <w:rPr>
          <w:rFonts w:ascii="Calibri" w:cs="Calibri" w:eastAsia="Calibri" w:hAnsi="Calibri"/>
        </w:rPr>
        <w:t xml:space="preserve">Fix quality dominates network outcomes: A3 and A4 increased non-compliant site-hours above the no-agent baseline, while A7, using the same findings as A5 but SMT repair, achieved the lowest non-compliance of any LLM arm with 10 pushes and almost no unnecessary ones.</w:t>
      </w:r>
    </w:p>
    <w:p>
      <w:pPr>
        <w:spacing w:after="120" w:line="276"/>
      </w:pPr>
      <w:r>
        <w:rPr>
          <w:rFonts w:ascii="Calibri" w:cs="Calibri" w:eastAsia="Calibri" w:hAnsi="Calibri"/>
        </w:rPr>
        <w:t xml:space="preserve">Remediation timing inside the twin: the maintenance-window policy pushed almost nothing in a 16:00-22:00 run, so its exposure matched no agent; the RL scheduler matched immediate remediation on exposure with 8% fewer users displaced (2950 vs 3193). Over a 6-hour evening window the scheduling effect is small; E6 shows it over full 24-hour cycles.</w:t>
      </w:r>
    </w:p>
    <w:p>
      <w:pPr>
        <w:pStyle w:val="Heading2"/>
        <w:spacing w:after="100" w:before="200"/>
      </w:pPr>
      <w:r>
        <w:rPr>
          <w:rFonts w:ascii="Calibri" w:cs="Calibri" w:eastAsia="Calibri" w:hAnsi="Calibri"/>
        </w:rPr>
        <w:t xml:space="preserve">5.3 E6: learning when to remediate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1100"/>
        <w:gridCol w:w="2226"/>
      </w:tblGrid>
      <w:tr>
        <w:trPr>
          <w:tblHeader/>
        </w:trPr>
        <w:tc>
          <w:tcPr>
            <w:tcW w:type="dxa" w:w="2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Policy</w:t>
            </w:r>
          </w:p>
        </w:tc>
        <w:tc>
          <w:tcPr>
            <w:tcW w:type="dxa" w:w="15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Exposure UE-h</w:t>
            </w:r>
          </w:p>
        </w:tc>
        <w:tc>
          <w:tcPr>
            <w:tcW w:type="dxa" w:w="16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Disruption UE-h</w:t>
            </w:r>
          </w:p>
        </w:tc>
        <w:tc>
          <w:tcPr>
            <w:tcW w:type="dxa" w:w="11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Pushes</w:t>
            </w:r>
          </w:p>
        </w:tc>
        <w:tc>
          <w:tcPr>
            <w:tcW w:type="dxa" w:w="22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Reward (mean ± sd)</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0.4</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6.75</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27.0</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-169.3 ± 40.9</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maintenance window</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3162.2</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1.76</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13.8</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-3206.4 ± 1659.5</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severity threshold</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26.5</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4.92</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23.7</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-149.6 ± 39.4</w:t>
            </w:r>
          </w:p>
        </w:tc>
      </w:tr>
      <w:tr>
        <w:tc>
          <w:tcPr>
            <w:tcW w:type="dxa" w:w="2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PPO (learned)</w:t>
            </w:r>
          </w:p>
        </w:tc>
        <w:tc>
          <w:tcPr>
            <w:tcW w:type="dxa" w:w="15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16.3</w:t>
            </w:r>
          </w:p>
        </w:tc>
        <w:tc>
          <w:tcPr>
            <w:tcW w:type="dxa" w:w="16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4.87</w:t>
            </w:r>
          </w:p>
        </w:tc>
        <w:tc>
          <w:tcPr>
            <w:tcW w:type="dxa" w:w="11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21.6</w:t>
            </w:r>
          </w:p>
        </w:tc>
        <w:tc>
          <w:tcPr>
            <w:tcW w:type="dxa" w:w="22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-138.0 ± 38.5</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rPr>
          <w:tblHeader/>
        </w:trPr>
        <w:tc>
          <w:tcPr>
            <w:tcW w:type="dxa" w:w="28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PPO compared with</w:t>
            </w:r>
          </w:p>
        </w:tc>
        <w:tc>
          <w:tcPr>
            <w:tcW w:type="dxa" w:w="20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Mean reward gain</w:t>
            </w:r>
          </w:p>
        </w:tc>
        <w:tc>
          <w:tcPr>
            <w:tcW w:type="dxa" w:w="2200"/>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95% CI</w:t>
            </w:r>
          </w:p>
        </w:tc>
        <w:tc>
          <w:tcPr>
            <w:tcW w:type="dxa" w:w="2026"/>
            <w:tcBorders>
              <w:top w:val="single" w:color="C9CED6" w:sz="4"/>
              <w:left w:val="single" w:color="C9CED6" w:sz="4"/>
              <w:bottom w:val="single" w:color="C9CED6" w:sz="4"/>
              <w:right w:val="single" w:color="C9CED6" w:sz="4"/>
            </w:tcBorders>
            <w:shd w:fill="E8ECF0" w:color="auto" w:val="clear"/>
            <w:tcMar>
              <w:top w:type="dxa" w:w="50"/>
              <w:left w:type="dxa" w:w="90"/>
              <w:bottom w:type="dxa" w:w="50"/>
              <w:right w:type="dxa" w:w="90"/>
            </w:tcMar>
          </w:tcPr>
          <w:p>
            <w:r>
              <w:rPr>
                <w:rFonts w:ascii="Calibri" w:cs="Calibri" w:eastAsia="Calibri" w:hAnsi="Calibri"/>
                <w:b/>
                <w:bCs/>
                <w:sz w:val="17"/>
                <w:szCs w:val="17"/>
              </w:rPr>
              <w:t xml:space="preserve">PPO better in</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immediate</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31.3</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[29.5, 33.1]</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98%</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maintenance window</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3068.3</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[2854.5, 3303.0]</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100%</w:t>
            </w:r>
          </w:p>
        </w:tc>
      </w:tr>
      <w:tr>
        <w:tc>
          <w:tcPr>
            <w:tcW w:type="dxa" w:w="28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severity threshold</w:t>
            </w:r>
          </w:p>
        </w:tc>
        <w:tc>
          <w:tcPr>
            <w:tcW w:type="dxa" w:w="20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11.5</w:t>
            </w:r>
          </w:p>
        </w:tc>
        <w:tc>
          <w:tcPr>
            <w:tcW w:type="dxa" w:w="2200"/>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[8.3, 14.9]</w:t>
            </w:r>
          </w:p>
        </w:tc>
        <w:tc>
          <w:tcPr>
            <w:tcW w:type="dxa" w:w="2026"/>
            <w:tcBorders>
              <w:top w:val="single" w:color="C9CED6" w:sz="4"/>
              <w:left w:val="single" w:color="C9CED6" w:sz="4"/>
              <w:bottom w:val="single" w:color="C9CED6" w:sz="4"/>
              <w:right w:val="single" w:color="C9CED6" w:sz="4"/>
            </w:tcBorders>
            <w:tcMar>
              <w:top w:type="dxa" w:w="50"/>
              <w:left w:type="dxa" w:w="90"/>
              <w:bottom w:type="dxa" w:w="50"/>
              <w:right w:type="dxa" w:w="90"/>
            </w:tcMar>
          </w:tcPr>
          <w:p>
            <w:r>
              <w:rPr>
                <w:rFonts w:ascii="Calibri" w:cs="Calibri" w:eastAsia="Calibri" w:hAnsi="Calibri"/>
                <w:b w:val="false"/>
                <w:bCs w:val="false"/>
                <w:sz w:val="17"/>
                <w:szCs w:val="17"/>
              </w:rPr>
              <w:t xml:space="preserve">74%</w:t>
            </w:r>
          </w:p>
        </w:tc>
      </w:tr>
    </w:tbl>
    <w:p>
      <w:pPr>
        <w:spacing w:after="200"/>
      </w:pPr>
      <w:r>
        <w:rPr>
          <w:rFonts w:ascii="Calibri" w:cs="Calibri" w:eastAsia="Calibri" w:hAnsi="Calibri"/>
          <w:i/>
          <w:iCs/>
          <w:color w:val="4D5866"/>
          <w:sz w:val="18"/>
          <w:szCs w:val="18"/>
        </w:rPr>
        <w:t xml:space="preserve">Table 12. 200 paired 24-hour episodes. Remediation-scheduling environment calibrated from the twin (users per site, diurnal load, outage durations). Severity weights are a stated modelling choice. Paired evaluation on 200 identical episodes; reward gain CI by bootstrap.</w:t>
      </w:r>
    </w:p>
    <w:p>
      <w:pPr>
        <w:spacing w:after="40" w:before="80"/>
        <w:jc w:val="center"/>
      </w:pPr>
      <w:r>
        <w:drawing>
          <wp:inline distT="0" distB="0" distL="0" distR="0">
            <wp:extent cx="5334000" cy="1762125"/>
            <wp:effectExtent t="0" r="0" b="0" l="0"/>
            <wp:docPr id="1" name="e6_rl.png" descr="e6_rl.png" title="e6_r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762125"/>
                    </a:xfrm>
                    <a:prstGeom prst="rect">
                      <a:avLst/>
                    </a:prstGeom>
                  </pic:spPr>
                </pic:pic>
              </a:graphicData>
            </a:graphic>
          </wp:inline>
        </w:drawing>
      </w:r>
    </w:p>
    <w:p>
      <w:pPr>
        <w:spacing w:after="200"/>
      </w:pPr>
      <w:r>
        <w:rPr>
          <w:rFonts w:ascii="Calibri" w:cs="Calibri" w:eastAsia="Calibri" w:hAnsi="Calibri"/>
          <w:i/>
          <w:iCs/>
          <w:color w:val="4D5866"/>
          <w:sz w:val="18"/>
          <w:szCs w:val="18"/>
        </w:rPr>
        <w:t xml:space="preserve">Figure 6. Exposure and disruption by remediation policy.</w:t>
      </w:r>
    </w:p>
    <w:p>
      <w:pPr>
        <w:spacing w:after="120" w:line="276"/>
      </w:pPr>
      <w:r>
        <w:rPr>
          <w:rFonts w:ascii="Calibri" w:cs="Calibri" w:eastAsia="Calibri" w:hAnsi="Calibri"/>
        </w:rPr>
        <w:t xml:space="preserve">Over 200 paired 24-hour episodes the learned PPO scheduler beat the best hand-written rule (severity threshold) by 11.5 reward units (95% CI 8.3-14.9; better in 74% of episodes), mainly by deferring low-severity fixes to off-peak hours while fixing high-severity issues immediately. A pure maintenance-window policy is unacceptable when severe violations appear (exposure two orders of magnitude higher).</w:t>
      </w:r>
    </w:p>
    <w:p>
      <w:pPr>
        <w:pStyle w:val="Heading1"/>
        <w:spacing w:after="140" w:before="280"/>
      </w:pPr>
      <w:r>
        <w:rPr>
          <w:rFonts w:ascii="Calibri" w:cs="Calibri" w:eastAsia="Calibri" w:hAnsi="Calibri"/>
        </w:rPr>
        <w:t xml:space="preserve">6. Limitations and threats to validity</w:t>
      </w:r>
    </w:p>
    <w:p>
      <w:pPr>
        <w:pStyle w:val="ListParagraph"/>
        <w:numPr>
          <w:ilvl w:val="0"/>
          <w:numId w:val="2"/>
        </w:numPr>
        <w:spacing w:after="60"/>
      </w:pPr>
      <w:r>
        <w:rPr>
          <w:rFonts w:ascii="Calibri" w:cs="Calibri" w:eastAsia="Calibri" w:hAnsi="Calibri"/>
        </w:rPr>
        <w:t xml:space="preserve">Clause texts for TS 33.501 and O-RAN WG11 are paraphrases [UNVERIFIED]; the C3 quote check runs on whatever text is in the knowledge base, so replacing it with the official sentences needs no code change, but all citation results must be re-run afterwards.</w:t>
      </w:r>
    </w:p>
    <w:p>
      <w:pPr>
        <w:pStyle w:val="ListParagraph"/>
        <w:numPr>
          <w:ilvl w:val="0"/>
          <w:numId w:val="2"/>
        </w:numPr>
        <w:spacing w:after="60"/>
      </w:pPr>
      <w:r>
        <w:rPr>
          <w:rFonts w:ascii="Calibri" w:cs="Calibri" w:eastAsia="Calibri" w:hAnsi="Calibri"/>
        </w:rPr>
        <w:t xml:space="preserve">The dataset is synthetic and oracle-labelled, with one annotator (the oracle). The proposal's two-annotator protocol has not been carried out.</w:t>
      </w:r>
    </w:p>
    <w:p>
      <w:pPr>
        <w:pStyle w:val="ListParagraph"/>
        <w:numPr>
          <w:ilvl w:val="0"/>
          <w:numId w:val="2"/>
        </w:numPr>
        <w:spacing w:after="60"/>
      </w:pPr>
      <w:r>
        <w:rPr>
          <w:rFonts w:ascii="Calibri" w:cs="Calibri" w:eastAsia="Calibri" w:hAnsi="Calibri"/>
        </w:rPr>
        <w:t xml:space="preserve">Pilot scale: 45 test configurations and one to two repeats per arm. Intervals are wide; differences whose interval includes zero are reported as unresolved.</w:t>
      </w:r>
    </w:p>
    <w:p>
      <w:pPr>
        <w:pStyle w:val="ListParagraph"/>
        <w:numPr>
          <w:ilvl w:val="0"/>
          <w:numId w:val="2"/>
        </w:numPr>
        <w:spacing w:after="60"/>
      </w:pPr>
      <w:r>
        <w:rPr>
          <w:rFonts w:ascii="Calibri" w:cs="Calibri" w:eastAsia="Calibri" w:hAnsi="Calibri"/>
        </w:rPr>
        <w:t xml:space="preserve">The local 7B model is much smaller than the models in the closest published work; absolute accuracy is not comparable, only relative effects between arms.</w:t>
      </w:r>
    </w:p>
    <w:p>
      <w:pPr>
        <w:pStyle w:val="ListParagraph"/>
        <w:numPr>
          <w:ilvl w:val="0"/>
          <w:numId w:val="2"/>
        </w:numPr>
        <w:spacing w:after="60"/>
      </w:pPr>
      <w:r>
        <w:rPr>
          <w:rFonts w:ascii="Calibri" w:cs="Calibri" w:eastAsia="Calibri" w:hAnsi="Calibri"/>
        </w:rPr>
        <w:t xml:space="preserve">The twin is a system-level simulator; absolute KPIs are indicative. Comparisons between arms and policies on identical seeds are the meaningful output.</w:t>
      </w:r>
    </w:p>
    <w:p>
      <w:pPr>
        <w:pStyle w:val="ListParagraph"/>
        <w:numPr>
          <w:ilvl w:val="0"/>
          <w:numId w:val="2"/>
        </w:numPr>
        <w:spacing w:after="60"/>
      </w:pPr>
      <w:r>
        <w:rPr>
          <w:rFonts w:ascii="Calibri" w:cs="Calibri" w:eastAsia="Calibri" w:hAnsi="Calibri"/>
        </w:rPr>
        <w:t xml:space="preserve">The interface_security block and the Operator Security Baseline are project constructs, not part of OAI or any standard.</w:t>
      </w:r>
    </w:p>
    <w:p>
      <w:pPr>
        <w:pStyle w:val="ListParagraph"/>
        <w:numPr>
          <w:ilvl w:val="0"/>
          <w:numId w:val="2"/>
        </w:numPr>
        <w:spacing w:after="60"/>
      </w:pPr>
      <w:r>
        <w:rPr>
          <w:rFonts w:ascii="Calibri" w:cs="Calibri" w:eastAsia="Calibri" w:hAnsi="Calibri"/>
        </w:rPr>
        <w:t xml:space="preserve">The RL environment's severity weights are a modelling choice; the learned policy is valid for this environment only.</w:t>
      </w:r>
    </w:p>
    <w:p>
      <w:pPr>
        <w:pStyle w:val="Heading1"/>
        <w:spacing w:after="140" w:before="280"/>
      </w:pPr>
      <w:r>
        <w:rPr>
          <w:rFonts w:ascii="Calibri" w:cs="Calibri" w:eastAsia="Calibri" w:hAnsi="Calibri"/>
        </w:rPr>
        <w:t xml:space="preserve">7. Reproducing the results</w:t>
      </w:r>
    </w:p>
    <w:p>
      <w:pPr>
        <w:spacing w:after="60"/>
      </w:pPr>
      <w:r>
        <w:rPr>
          <w:rFonts w:ascii="Consolas" w:cs="Consolas" w:eastAsia="Consolas" w:hAnsi="Consolas"/>
          <w:sz w:val="18"/>
          <w:szCs w:val="18"/>
        </w:rPr>
        <w:t xml:space="preserve">python -m sectwin.dataset.generate</w:t>
      </w:r>
    </w:p>
    <w:p>
      <w:pPr>
        <w:spacing w:after="60"/>
      </w:pPr>
      <w:r>
        <w:rPr>
          <w:rFonts w:ascii="Consolas" w:cs="Consolas" w:eastAsia="Consolas" w:hAnsi="Consolas"/>
          <w:sz w:val="18"/>
          <w:szCs w:val="18"/>
        </w:rPr>
        <w:t xml:space="preserve">bash scripts/run_shard.sh 0/2  and  bash scripts/run_shard.sh 1/2   (E1-E3, resumable)</w:t>
      </w:r>
    </w:p>
    <w:p>
      <w:pPr>
        <w:spacing w:after="60"/>
      </w:pPr>
      <w:r>
        <w:rPr>
          <w:rFonts w:ascii="Consolas" w:cs="Consolas" w:eastAsia="Consolas" w:hAnsi="Consolas"/>
          <w:sz w:val="18"/>
          <w:szCs w:val="18"/>
        </w:rPr>
        <w:t xml:space="preserve">python -m sectwin.eval.twin_experiments e5 ;  python -m sectwin.rl.train 400000 ;  python -m sectwin.eval.twin_experiments e4 6</w:t>
      </w:r>
    </w:p>
    <w:p>
      <w:pPr>
        <w:spacing w:after="60"/>
      </w:pPr>
      <w:r>
        <w:rPr>
          <w:rFonts w:ascii="Consolas" w:cs="Consolas" w:eastAsia="Consolas" w:hAnsi="Consolas"/>
          <w:sz w:val="18"/>
          <w:szCs w:val="18"/>
        </w:rPr>
        <w:t xml:space="preserve">python -m sectwin.eval.analyze ;  python scripts/make_figures.py ;  node scripts/report/build_report.js</w:t>
      </w:r>
    </w:p>
    <w:p>
      <w:pPr>
        <w:spacing w:after="60"/>
      </w:pPr>
      <w:r>
        <w:rPr>
          <w:rFonts w:ascii="Consolas" w:cs="Consolas" w:eastAsia="Consolas" w:hAnsi="Consolas"/>
          <w:sz w:val="18"/>
          <w:szCs w:val="18"/>
        </w:rPr>
        <w:t xml:space="preserve">python -m uvicorn sectwin.api.server:app --port 8600   (dashboard at http://localhost:8600)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8594"/>
        <w:sz w:val="16"/>
        <w:szCs w:val="16"/>
      </w:rPr>
      <w:t xml:space="preserve">SecTwin pilot results  |  page </w:t>
    </w:r>
    <w:r>
      <w:rPr>
        <w:color w:val="7A859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D242C"/>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0B5F8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30894130637024a8a05bdc4783c3baf54b6b4c5.png"/><Relationship Id="rId9" Type="http://schemas.openxmlformats.org/officeDocument/2006/relationships/image" Target="media/eebb6dadb886c884ca3a775dfe739ef6e3207adc.png"/><Relationship Id="rId10" Type="http://schemas.openxmlformats.org/officeDocument/2006/relationships/image" Target="media/03d27cf48dc0c088313639dc2540919a79827aef.png"/><Relationship Id="rId11" Type="http://schemas.openxmlformats.org/officeDocument/2006/relationships/image" Target="media/ac06ec07d12b4f6c3308737b4480cfeb9447a700.png"/><Relationship Id="rId12" Type="http://schemas.openxmlformats.org/officeDocument/2006/relationships/image" Target="media/02ee669510c77b3e685986ef32ba372a9734d291.png"/><Relationship Id="rId13" Type="http://schemas.openxmlformats.org/officeDocument/2006/relationships/image" Target="media/4d7d1ce9c1ae426300c5333eab43a3332ebea76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SecTwin: Implementation and Pilot Results</dc:title>
  <dc:creator>SecTwin</dc:creator>
  <cp:lastModifiedBy>Un-named</cp:lastModifiedBy>
  <cp:revision>1</cp:revision>
  <dcterms:created xsi:type="dcterms:W3CDTF">2026-10-19T20:03:56.208Z</dcterms:created>
  <dcterms:modified xsi:type="dcterms:W3CDTF">2026-10-19T20:03:56.208Z</dcterms:modified>
</cp:coreProperties>
</file>

<file path=docProps/custom.xml><?xml version="1.0" encoding="utf-8"?>
<Properties xmlns="http://schemas.openxmlformats.org/officeDocument/2006/custom-properties" xmlns:vt="http://schemas.openxmlformats.org/officeDocument/2006/docPropsVTypes"/>
</file>