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Meeting_10  Agenda- Design Document Technical distribution 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LOCATION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color w:val="000000"/>
                <w:rtl w:val="0"/>
              </w:rPr>
              <w:t xml:space="preserve">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Online platform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TITLE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color w:val="000000"/>
                <w:rtl w:val="0"/>
              </w:rPr>
              <w:t xml:space="preserve">:00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Design Document Technical Distribution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Discussion on what technologies to use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 down the number of technologies available to build the web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ind w:left="128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on each technologies pros and cons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Listing down every favourable and non favourable features of the technologies available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Divide the technical parts of the design document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Divide which team members would be doing which parts of technical details in the design document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0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20"/>
        <w:gridCol w:w="9405"/>
        <w:tblGridChange w:id="0">
          <w:tblGrid>
            <w:gridCol w:w="1620"/>
            <w:gridCol w:w="94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:00 to 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Attendance; Call to Order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:05 to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Discussion on what technologies to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09:40 to 11:00  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32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Discussion on each technologies pros and cons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11:00 to 11:30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Divide the technical parts of the design document</w:t>
            </w:r>
          </w:p>
        </w:tc>
      </w:tr>
      <w:tr>
        <w:trPr>
          <w:trHeight w:val="420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11:35 am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000000"/>
          <w:rtl w:val="0"/>
        </w:rPr>
        <w:t xml:space="preserve">Next Meeting Date: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b w:val="0"/>
          <w:color w:val="000000"/>
          <w:rtl w:val="0"/>
        </w:rPr>
        <w:t xml:space="preserve">, 2020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rPr/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