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 AGREEMENT</w:t>
      </w:r>
    </w:p>
    <w:p>
      <w:r>
        <w:t>This Consulting Agreement is effective as of June 1, 2026 between Meridian Health Partners ("Client") and Brightline Advisory Group ("Consultant").</w:t>
      </w:r>
    </w:p>
    <w:p>
      <w:pPr>
        <w:pStyle w:val="Heading2"/>
      </w:pPr>
      <w:r>
        <w:t>1. Services</w:t>
      </w:r>
    </w:p>
    <w:p>
      <w:r>
        <w:t>1.1 Consultant shall provide the advisory services described in the statement of work agreed by the parties from time to time.</w:t>
      </w:r>
    </w:p>
    <w:p>
      <w:pPr>
        <w:pStyle w:val="Heading2"/>
      </w:pPr>
      <w:r>
        <w:t>2. Duration</w:t>
      </w:r>
    </w:p>
    <w:p>
      <w:r>
        <w:t>2.1 This Agreement continues until the Services are completed to the reasonable satisfaction of the Client.</w:t>
      </w:r>
    </w:p>
    <w:p>
      <w:r>
        <w:t>2.2 Either party may end this Agreement upon reasonable notice to the other party.</w:t>
      </w:r>
    </w:p>
    <w:p>
      <w:pPr>
        <w:pStyle w:val="Heading2"/>
      </w:pPr>
      <w:r>
        <w:t>3. Reporting</w:t>
      </w:r>
    </w:p>
    <w:p>
      <w:r>
        <w:t>3.1 Consultant shall deliver a project status report to Client every two weeks while Services are being performed.</w:t>
      </w:r>
    </w:p>
    <w:p>
      <w:pPr>
        <w:pStyle w:val="Heading2"/>
      </w:pPr>
      <w:r>
        <w:t>4. Cooperation</w:t>
      </w:r>
    </w:p>
    <w:p>
      <w:r>
        <w:t>4.1 Client shall provide timely access to relevant personnel and information.</w:t>
      </w:r>
    </w:p>
    <w:p>
      <w:pPr>
        <w:pStyle w:val="Heading2"/>
      </w:pPr>
      <w:r>
        <w:t>5. Fees</w:t>
      </w:r>
    </w:p>
    <w:p>
      <w:r>
        <w:t>5.1 Fees are payable within the period agreed with the relevant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