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دليل أمانة السر الكشفية</w:t>
      </w:r>
    </w:p>
    <w:p>
      <w:pPr>
        <w:pStyle w:val="Subtitle"/>
      </w:pPr>
      <w:r>
        <w:t xml:space="preserve">منهجية موحّدة لأمناء السر في الكشاف المسلم</w:t>
      </w:r>
    </w:p>
    <w:p>
      <w:pPr>
        <w:pStyle w:val="Author"/>
      </w:pPr>
      <w:r>
        <w:t xml:space="preserve">القائد مصطفى خزعل</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فكرة-الدليل"/>
    <w:p>
      <w:pPr>
        <w:pStyle w:val="Heading1"/>
      </w:pPr>
      <w:r>
        <w:t xml:space="preserve">فكرة الدليل</w:t>
      </w:r>
    </w:p>
    <w:p>
      <w:pPr>
        <w:pStyle w:val="FirstParagraph"/>
      </w:pPr>
      <w:r>
        <w:t xml:space="preserve">يهدف الدليل إلى توحيد عمل أمانة السر في الأفواج والمفوضيات، من خلال منهجية واضحة في كتابة المحاضر، حفظ المراسلات، متابعة القرارات، وتنظيم الأرشيف.</w:t>
      </w:r>
    </w:p>
    <w:bookmarkEnd w:id="9"/>
    <w:bookmarkStart w:id="10" w:name="المقدمة"/>
    <w:p>
      <w:pPr>
        <w:pStyle w:val="Heading1"/>
      </w:pPr>
      <w:r>
        <w:t xml:space="preserve">1. المقدمة</w:t>
      </w:r>
    </w:p>
    <w:bookmarkEnd w:id="10"/>
    <w:bookmarkStart w:id="28" w:name="المقدمة-العامة"/>
    <w:p>
      <w:pPr>
        <w:pStyle w:val="Heading1"/>
      </w:pPr>
      <w:r>
        <w:t xml:space="preserve">2. المقدمة العامة</w:t>
      </w:r>
    </w:p>
    <w:bookmarkStart w:id="17" w:name="لماذا-هذا-الدليل"/>
    <w:p>
      <w:pPr>
        <w:pStyle w:val="Heading2"/>
      </w:pPr>
      <w:r>
        <w:t xml:space="preserve">2.1 لماذا هذا الدليل؟</w:t>
      </w:r>
    </w:p>
    <w:p>
      <w:pPr>
        <w:pStyle w:val="FirstParagraph"/>
      </w:pPr>
      <w:r>
        <w:t xml:space="preserve">تحتاج أمانة السر الكشفية إلى منهجية موحّدة تساعد الأفواج والمفوضيات على العمل بطريقة واضحة وثابتة. فاختلاف طرق كتابة المحاضر، وتسمية الملفات، وحفظ المراسلات، ومتابعة القرارات يؤدي مع الوقت إلى ضياع المعلومات وصعوبة الرجوع إليها.</w:t>
      </w:r>
    </w:p>
    <w:p>
      <w:pPr>
        <w:pStyle w:val="BodyText"/>
      </w:pPr>
      <w:r>
        <w:t xml:space="preserve">إن توحيد العمل لا يعني إلغاء خصوصية كل فوج أو مفوضية، بل يعني اعتماد حدّ أدنى من النظام الإداري المشترك، بحيث يصبح كل أمين سر قادرًا على فهم الملفات، متابعة القرارات، وتسليم العمل لمن بعده بسهولة.</w:t>
      </w:r>
    </w:p>
    <w:bookmarkStart w:id="14" w:name="الحاجة-إلى-توحيد-عمل-أمانة-السر"/>
    <w:p>
      <w:pPr>
        <w:pStyle w:val="Heading3"/>
      </w:pPr>
      <w:r>
        <w:t xml:space="preserve">2.1.1 الحاجة إلى توحيد عمل أمانة السر</w:t>
      </w:r>
    </w:p>
    <w:p>
      <w:pPr>
        <w:pStyle w:val="FirstParagraph"/>
      </w:pPr>
      <w:r>
        <w:t xml:space="preserve">التوحيد يحمي الاستمرارية، ويجعل العمل أقل ارتباطًا بالأشخاص وأكثر ارتباطًا بنظام واضح يمكن فهمه وتطبيقه ومراجعته.</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important.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التوحيد لا يلغي الخصوصية؛ بل يحمي الاستمرارية.</w:t>
            </w:r>
          </w:p>
          <w:p/>
        </w:tc>
      </w:tr>
    </w:tbl>
    <w:bookmarkEnd w:id="14"/>
    <w:bookmarkStart w:id="15" w:name="Xf757c3a32dc82886fb028187fbdf1d3667e7c5f"/>
    <w:p>
      <w:pPr>
        <w:pStyle w:val="Heading3"/>
      </w:pPr>
      <w:r>
        <w:t xml:space="preserve">2.1.2 مشكلة اختلاف الأساليب بين الأفواج والمفوضيات</w:t>
      </w:r>
    </w:p>
    <w:p>
      <w:pPr>
        <w:pStyle w:val="FirstParagraph"/>
      </w:pPr>
      <w:r>
        <w:t xml:space="preserve">من أبرز التحديات الإدارية أن كل فوج أو مفوضية قد يعتمد طريقة مختلفة في التوثيق والأرشفة. فقد تُكتب المحاضر بصيغ متعددة، أو تُحفظ الملفات في حسابات شخصية، أو تُرسل القرارات عبر تطبيقات المحادثة دون حفظها في أرشيف رسمي.</w:t>
      </w:r>
    </w:p>
    <w:bookmarkEnd w:id="15"/>
    <w:bookmarkStart w:id="16" w:name="أمانة-السر-كذاكرة-إدارية-كشفية"/>
    <w:p>
      <w:pPr>
        <w:pStyle w:val="Heading3"/>
      </w:pPr>
      <w:r>
        <w:t xml:space="preserve">2.1.3 أمانة السر كذاكرة إدارية كشفية</w:t>
      </w:r>
    </w:p>
    <w:p>
      <w:pPr>
        <w:pStyle w:val="FirstParagraph"/>
      </w:pPr>
      <w:r>
        <w:t xml:space="preserve">أمانة السر ليست مجرد كتابة محاضر أو حفظ أوراق، بل هي الذاكرة الإدارية للفوج أو المفوضية. فمن خلالها تُحفظ الاجتماعات، القرارات، المراسلات، التقارير، الأنشطة، والمتابعات.</w:t>
      </w:r>
    </w:p>
    <w:bookmarkEnd w:id="16"/>
    <w:bookmarkEnd w:id="17"/>
    <w:bookmarkStart w:id="22" w:name="لمن-هذا-الدليل"/>
    <w:p>
      <w:pPr>
        <w:pStyle w:val="Heading2"/>
      </w:pPr>
      <w:r>
        <w:t xml:space="preserve">2.2 لمن هذا الدليل؟</w:t>
      </w:r>
    </w:p>
    <w:bookmarkStart w:id="18" w:name="أمين-سر-الفوج"/>
    <w:p>
      <w:pPr>
        <w:pStyle w:val="Heading3"/>
      </w:pPr>
      <w:r>
        <w:t xml:space="preserve">2.2.1 أمين سر الفوج</w:t>
      </w:r>
    </w:p>
    <w:p>
      <w:pPr>
        <w:pStyle w:val="FirstParagraph"/>
      </w:pPr>
      <w:r>
        <w:t xml:space="preserve">يساعد هذا الدليل أمين سر الفوج على تنظيم اجتماعات قيادة الفوج، إعداد المحاضر، متابعة قرارات القائد والقيادة، حفظ مراسلات الفوج، أرشفة الأنشطة، وتجهيز التقارير المطلوبة من المفوضية.</w:t>
      </w:r>
    </w:p>
    <w:bookmarkEnd w:id="18"/>
    <w:bookmarkStart w:id="19" w:name="أمين-سر-المفوضية"/>
    <w:p>
      <w:pPr>
        <w:pStyle w:val="Heading3"/>
      </w:pPr>
      <w:r>
        <w:t xml:space="preserve">2.2.2 أمين سر المفوضية</w:t>
      </w:r>
    </w:p>
    <w:p>
      <w:pPr>
        <w:pStyle w:val="FirstParagraph"/>
      </w:pPr>
      <w:r>
        <w:t xml:space="preserve">يساعد هذا الدليل أمين سر المفوضية على إدارة ملفات المفوضية، تنظيم اجتماعاتها، متابعة قراراتها، حفظ مراسلاتها، وأرشفة تقارير الأفواج واللجان.</w:t>
      </w:r>
    </w:p>
    <w:bookmarkEnd w:id="19"/>
    <w:bookmarkStart w:id="20" w:name="المفوض-الإداري"/>
    <w:p>
      <w:pPr>
        <w:pStyle w:val="Heading3"/>
      </w:pPr>
      <w:r>
        <w:t xml:space="preserve">2.2.3 المفوض الإداري</w:t>
      </w:r>
    </w:p>
    <w:p>
      <w:pPr>
        <w:pStyle w:val="FirstParagraph"/>
      </w:pPr>
      <w:r>
        <w:t xml:space="preserve">يمثّل هذا الدليل أداة عملية للمفوض الإداري من أجل توحيد العمل الإداري بين الأفواج والمفوضيات، ومتابعة جودة المحاضر، السجلات، المراسلات، والأرشفة.</w:t>
      </w:r>
    </w:p>
    <w:bookmarkEnd w:id="20"/>
    <w:bookmarkStart w:id="21" w:name="القادة-والمسؤولون-الإداريون"/>
    <w:p>
      <w:pPr>
        <w:pStyle w:val="Heading3"/>
      </w:pPr>
      <w:r>
        <w:t xml:space="preserve">2.2.4 القادة والمسؤولون الإداريون</w:t>
      </w:r>
    </w:p>
    <w:p>
      <w:pPr>
        <w:pStyle w:val="FirstParagraph"/>
      </w:pPr>
      <w:r>
        <w:t xml:space="preserve">يستفيد القادة والمسؤولون الإداريون من هذا الدليل لأنه يوضح كيف يجب أن تُوثّق القرارات، وكيف تُتابع المهام، وكيف تُحفظ الملفات بطريقة تضمن الاستمرارية.</w:t>
      </w:r>
    </w:p>
    <w:bookmarkEnd w:id="21"/>
    <w:bookmarkEnd w:id="22"/>
    <w:bookmarkStart w:id="27" w:name="كيف-نستخدم-هذا-الدليل"/>
    <w:p>
      <w:pPr>
        <w:pStyle w:val="Heading2"/>
      </w:pPr>
      <w:r>
        <w:t xml:space="preserve">2.3 كيف نستخدم هذا الدليل؟</w:t>
      </w:r>
    </w:p>
    <w:bookmarkStart w:id="23" w:name="كمرجع-عملي"/>
    <w:p>
      <w:pPr>
        <w:pStyle w:val="Heading3"/>
      </w:pPr>
      <w:r>
        <w:t xml:space="preserve">2.3.1 كمرجع عملي</w:t>
      </w:r>
    </w:p>
    <w:p>
      <w:pPr>
        <w:pStyle w:val="FirstParagraph"/>
      </w:pPr>
      <w:r>
        <w:t xml:space="preserve">يمكن استخدام هذا الدليل كمرجع يومي لأمين السر عند إعداد جدول أعمال، كتابة محضر، تسمية ملف، حفظ مراسلة، أو متابعة قرار.</w:t>
      </w:r>
    </w:p>
    <w:bookmarkEnd w:id="23"/>
    <w:bookmarkStart w:id="24" w:name="كمنهج-تدريبي"/>
    <w:p>
      <w:pPr>
        <w:pStyle w:val="Heading3"/>
      </w:pPr>
      <w:r>
        <w:t xml:space="preserve">2.3.2 كمنهج تدريبي</w:t>
      </w:r>
    </w:p>
    <w:p>
      <w:pPr>
        <w:pStyle w:val="FirstParagraph"/>
      </w:pPr>
      <w:r>
        <w:t xml:space="preserve">يمكن تحويل هذا الدليل إلى دورة تدريبية لأمناء السر في الأفواج والمفوضيات.</w:t>
      </w:r>
    </w:p>
    <w:bookmarkEnd w:id="24"/>
    <w:bookmarkStart w:id="25" w:name="كأداة-تقييم-ومتابعة"/>
    <w:p>
      <w:pPr>
        <w:pStyle w:val="Heading3"/>
      </w:pPr>
      <w:r>
        <w:t xml:space="preserve">2.3.3 كأداة تقييم ومتابعة</w:t>
      </w:r>
    </w:p>
    <w:p>
      <w:pPr>
        <w:pStyle w:val="FirstParagraph"/>
      </w:pPr>
      <w:r>
        <w:t xml:space="preserve">يمكن للمفوضية الإدارية أو المسؤول الإداري استخدام هذا الدليل لتقييم جودة عمل أمانة السر.</w:t>
      </w:r>
    </w:p>
    <w:bookmarkEnd w:id="25"/>
    <w:bookmarkStart w:id="26" w:name="كدليل-تسليم-واستلام"/>
    <w:p>
      <w:pPr>
        <w:pStyle w:val="Heading3"/>
      </w:pPr>
      <w:r>
        <w:t xml:space="preserve">2.3.4 كدليل تسليم واستلام</w:t>
      </w:r>
    </w:p>
    <w:p>
      <w:pPr>
        <w:pStyle w:val="FirstParagraph"/>
      </w:pPr>
      <w:r>
        <w:t xml:space="preserve">عند تغيير أمين السر أو انتقال المسؤولية، يساعد هذا الدليل على تنظيم عملية التسليم والاستلام.</w:t>
      </w:r>
    </w:p>
    <w:bookmarkEnd w:id="26"/>
    <w:bookmarkEnd w:id="27"/>
    <w:bookmarkEnd w:id="28"/>
    <w:bookmarkStart w:id="40" w:name="الباب-الأول-مدخل-إلى-أمانة-السر-الكشفية"/>
    <w:p>
      <w:pPr>
        <w:pStyle w:val="Heading1"/>
      </w:pPr>
      <w:r>
        <w:t xml:space="preserve">3. الباب الأول — مدخل إلى أمانة السر الكشفية</w:t>
      </w:r>
    </w:p>
    <w:bookmarkStart w:id="32" w:name="مفهوم-أمانة-السر"/>
    <w:p>
      <w:pPr>
        <w:pStyle w:val="Heading2"/>
      </w:pPr>
      <w:r>
        <w:t xml:space="preserve">3.1 مفهوم أمانة السر</w:t>
      </w:r>
    </w:p>
    <w:bookmarkStart w:id="29" w:name="معنى-أمانة-السر-إداريا"/>
    <w:p>
      <w:pPr>
        <w:pStyle w:val="Heading3"/>
      </w:pPr>
      <w:r>
        <w:t xml:space="preserve">3.1.1 معنى أمانة السر إداريًا</w:t>
      </w:r>
    </w:p>
    <w:p>
      <w:pPr>
        <w:pStyle w:val="FirstParagraph"/>
      </w:pPr>
      <w:r>
        <w:t xml:space="preserve">أمانة السر إداريًا هي الجهة المسؤولة عن تنظيم الوثائق، توثيق الاجتماعات، حفظ المراسلات، متابعة القرارات، وضمان بقاء العمل الإداري واضحًا وقابلًا للرجوع إليه.</w:t>
      </w:r>
    </w:p>
    <w:bookmarkEnd w:id="29"/>
    <w:bookmarkStart w:id="30" w:name="معنى-أمانة-السر-كشفيا"/>
    <w:p>
      <w:pPr>
        <w:pStyle w:val="Heading3"/>
      </w:pPr>
      <w:r>
        <w:t xml:space="preserve">3.1.2 معنى أمانة السر كشفيًا</w:t>
      </w:r>
    </w:p>
    <w:p>
      <w:pPr>
        <w:pStyle w:val="FirstParagraph"/>
      </w:pPr>
      <w:r>
        <w:t xml:space="preserve">أمانة السر كشفيًا هي الذاكرة الإدارية للفوج أو المفوضية، تحفظ تاريخ الاجتماعات والقرارات والأنشطة والتقارير، وتدعم القيادة في المتابعة.</w:t>
      </w:r>
    </w:p>
    <w:bookmarkEnd w:id="30"/>
    <w:bookmarkStart w:id="31" w:name="الفرق-بين-أمانة-السر-والسكرتاريا-العامة"/>
    <w:p>
      <w:pPr>
        <w:pStyle w:val="Heading3"/>
      </w:pPr>
      <w:r>
        <w:t xml:space="preserve">3.1.3 الفرق بين أمانة السر والسكرتاريا العامة</w:t>
      </w:r>
    </w:p>
    <w:p>
      <w:pPr>
        <w:pStyle w:val="FirstParagraph"/>
      </w:pPr>
      <w:r>
        <w:t xml:space="preserve">أمين السر الكشفي ليس مجرد كاتب أو منسق مواعيد، بل مسؤول إداري يحوّل النقاشات إلى قرارات قابلة للتوثيق والمتابعة.</w:t>
      </w:r>
    </w:p>
    <w:bookmarkEnd w:id="31"/>
    <w:bookmarkEnd w:id="32"/>
    <w:bookmarkStart w:id="37" w:name="أهمية-أمانة-السر-في-العمل-الكشفي"/>
    <w:p>
      <w:pPr>
        <w:pStyle w:val="Heading2"/>
      </w:pPr>
      <w:r>
        <w:t xml:space="preserve">3.2 أهمية أمانة السر في العمل الكشفي</w:t>
      </w:r>
    </w:p>
    <w:bookmarkStart w:id="33" w:name="حفظ-ذاكرة-الفوج-والمفوضية"/>
    <w:p>
      <w:pPr>
        <w:pStyle w:val="Heading3"/>
      </w:pPr>
      <w:r>
        <w:t xml:space="preserve">3.2.1 حفظ ذاكرة الفوج والمفوضية</w:t>
      </w:r>
    </w:p>
    <w:p>
      <w:pPr>
        <w:pStyle w:val="FirstParagraph"/>
      </w:pPr>
      <w:r>
        <w:t xml:space="preserve">الأرشيف المنظم يحفظ تاريخ العمل، ويساعد القيادة الجديدة على فهم ما تم إنجازه وما بقي قيد المتابعة.</w:t>
      </w:r>
    </w:p>
    <w:bookmarkEnd w:id="33"/>
    <w:bookmarkStart w:id="34" w:name="توثيق-القرارات-والمسؤوليات"/>
    <w:p>
      <w:pPr>
        <w:pStyle w:val="Heading3"/>
      </w:pPr>
      <w:r>
        <w:t xml:space="preserve">3.2.2 توثيق القرارات والمسؤوليات</w:t>
      </w:r>
    </w:p>
    <w:p>
      <w:pPr>
        <w:pStyle w:val="FirstParagraph"/>
      </w:pPr>
      <w:r>
        <w:t xml:space="preserve">كل قرار يحتاج إلى نص واضح، مسؤول محدد، ومهلة زمنية.</w:t>
      </w:r>
    </w:p>
    <w:bookmarkEnd w:id="34"/>
    <w:bookmarkStart w:id="35" w:name="دعم-القيادة-في-اتخاذ-القرار"/>
    <w:p>
      <w:pPr>
        <w:pStyle w:val="Heading3"/>
      </w:pPr>
      <w:r>
        <w:t xml:space="preserve">3.2.3 دعم القيادة في اتخاذ القرار</w:t>
      </w:r>
    </w:p>
    <w:p>
      <w:pPr>
        <w:pStyle w:val="FirstParagraph"/>
      </w:pPr>
      <w:r>
        <w:t xml:space="preserve">عندما تكون المعلومات منظمة، تصبح القيادة قادرة على التخطيط والتقييم والمتابعة بطريقة أفضل.</w:t>
      </w:r>
    </w:p>
    <w:bookmarkEnd w:id="35"/>
    <w:bookmarkStart w:id="36" w:name="ضمان-الاستمرارية-عند-تبدل-القادة"/>
    <w:p>
      <w:pPr>
        <w:pStyle w:val="Heading3"/>
      </w:pPr>
      <w:r>
        <w:t xml:space="preserve">3.2.4 ضمان الاستمرارية عند تبدّل القادة</w:t>
      </w:r>
    </w:p>
    <w:p>
      <w:pPr>
        <w:pStyle w:val="FirstParagraph"/>
      </w:pPr>
      <w:r>
        <w:t xml:space="preserve">العمل المؤسسي لا يبدأ من الصفر عند تبدل الأشخاص، بل يستند إلى ذاكرة محفوظة ومنهجية واضحة.</w:t>
      </w:r>
    </w:p>
    <w:bookmarkEnd w:id="36"/>
    <w:bookmarkEnd w:id="37"/>
    <w:bookmarkStart w:id="38" w:name="صفات-أمين-السر-الناجح"/>
    <w:p>
      <w:pPr>
        <w:pStyle w:val="Heading2"/>
      </w:pPr>
      <w:r>
        <w:t xml:space="preserve">3.3 صفات أمين السر الناجح</w:t>
      </w:r>
    </w:p>
    <w:p>
      <w:pPr>
        <w:pStyle w:val="Compact"/>
        <w:numPr>
          <w:ilvl w:val="0"/>
          <w:numId w:val="1001"/>
        </w:numPr>
      </w:pPr>
      <w:r>
        <w:t xml:space="preserve">الدقة والتنظيم.</w:t>
      </w:r>
    </w:p>
    <w:p>
      <w:pPr>
        <w:pStyle w:val="Compact"/>
        <w:numPr>
          <w:ilvl w:val="0"/>
          <w:numId w:val="1001"/>
        </w:numPr>
      </w:pPr>
      <w:r>
        <w:t xml:space="preserve">السرية والأمانة.</w:t>
      </w:r>
    </w:p>
    <w:p>
      <w:pPr>
        <w:pStyle w:val="Compact"/>
        <w:numPr>
          <w:ilvl w:val="0"/>
          <w:numId w:val="1001"/>
        </w:numPr>
      </w:pPr>
      <w:r>
        <w:t xml:space="preserve">وضوح اللغة.</w:t>
      </w:r>
    </w:p>
    <w:p>
      <w:pPr>
        <w:pStyle w:val="Compact"/>
        <w:numPr>
          <w:ilvl w:val="0"/>
          <w:numId w:val="1001"/>
        </w:numPr>
      </w:pPr>
      <w:r>
        <w:t xml:space="preserve">المتابعة وعدم الاكتفاء بالتوثيق.</w:t>
      </w:r>
    </w:p>
    <w:p>
      <w:pPr>
        <w:pStyle w:val="Compact"/>
        <w:numPr>
          <w:ilvl w:val="0"/>
          <w:numId w:val="1001"/>
        </w:numPr>
      </w:pPr>
      <w:r>
        <w:t xml:space="preserve">القدرة على استخدام الأدوات الرقمية.</w:t>
      </w:r>
    </w:p>
    <w:bookmarkEnd w:id="38"/>
    <w:bookmarkStart w:id="39" w:name="أخطاء-شائعة-في-أمانة-السر"/>
    <w:p>
      <w:pPr>
        <w:pStyle w:val="Heading2"/>
      </w:pPr>
      <w:r>
        <w:t xml:space="preserve">3.4 أخطاء شائعة في أمانة السر</w:t>
      </w:r>
    </w:p>
    <w:p>
      <w:pPr>
        <w:pStyle w:val="Compact"/>
        <w:numPr>
          <w:ilvl w:val="0"/>
          <w:numId w:val="1002"/>
        </w:numPr>
      </w:pPr>
      <w:r>
        <w:t xml:space="preserve">الاعتماد على الذاكرة.</w:t>
      </w:r>
    </w:p>
    <w:p>
      <w:pPr>
        <w:pStyle w:val="Compact"/>
        <w:numPr>
          <w:ilvl w:val="0"/>
          <w:numId w:val="1002"/>
        </w:numPr>
      </w:pPr>
      <w:r>
        <w:t xml:space="preserve">حفظ الملفات في حسابات شخصية.</w:t>
      </w:r>
    </w:p>
    <w:p>
      <w:pPr>
        <w:pStyle w:val="Compact"/>
        <w:numPr>
          <w:ilvl w:val="0"/>
          <w:numId w:val="1002"/>
        </w:numPr>
      </w:pPr>
      <w:r>
        <w:t xml:space="preserve">عدم توحيد أسماء الملفات.</w:t>
      </w:r>
    </w:p>
    <w:p>
      <w:pPr>
        <w:pStyle w:val="Compact"/>
        <w:numPr>
          <w:ilvl w:val="0"/>
          <w:numId w:val="1002"/>
        </w:numPr>
      </w:pPr>
      <w:r>
        <w:t xml:space="preserve">خلط النقاشات بالقرارات.</w:t>
      </w:r>
    </w:p>
    <w:p>
      <w:pPr>
        <w:pStyle w:val="Compact"/>
        <w:numPr>
          <w:ilvl w:val="0"/>
          <w:numId w:val="1002"/>
        </w:numPr>
      </w:pPr>
      <w:r>
        <w:t xml:space="preserve">اعتبار واتساب أرشيفًا رسميًا.</w:t>
      </w:r>
    </w:p>
    <w:bookmarkEnd w:id="39"/>
    <w:bookmarkEnd w:id="40"/>
    <w:bookmarkStart w:id="51" w:name="الباب-الثاني-دور-أمين-السر-ومسؤولياته"/>
    <w:p>
      <w:pPr>
        <w:pStyle w:val="Heading1"/>
      </w:pPr>
      <w:r>
        <w:t xml:space="preserve">4. الباب الثاني — دور أمين السر ومسؤولياته</w:t>
      </w:r>
    </w:p>
    <w:bookmarkStart w:id="47" w:name="المسؤوليات-الأساسية-لأمين-السر"/>
    <w:p>
      <w:pPr>
        <w:pStyle w:val="Heading2"/>
      </w:pPr>
      <w:r>
        <w:t xml:space="preserve">4.1 المسؤوليات الأساسية لأمين السر</w:t>
      </w:r>
    </w:p>
    <w:bookmarkStart w:id="41" w:name="تنظيم-الاجتماعات"/>
    <w:p>
      <w:pPr>
        <w:pStyle w:val="Heading3"/>
      </w:pPr>
      <w:r>
        <w:t xml:space="preserve">4.1.1 تنظيم الاجتماعات</w:t>
      </w:r>
    </w:p>
    <w:p>
      <w:pPr>
        <w:pStyle w:val="FirstParagraph"/>
      </w:pPr>
      <w:r>
        <w:t xml:space="preserve">ينسق أمين السر مع القائد أو المفوض لتحديد الهدف، إعداد جدول الأعمال، إرسال الدعوات، وتجهيز المرفقات ونموذج المحضر.</w:t>
      </w:r>
    </w:p>
    <w:bookmarkEnd w:id="41"/>
    <w:bookmarkStart w:id="42" w:name="إعداد-المحاضر"/>
    <w:p>
      <w:pPr>
        <w:pStyle w:val="Heading3"/>
      </w:pPr>
      <w:r>
        <w:t xml:space="preserve">4.1.2 إعداد المحاضر</w:t>
      </w:r>
    </w:p>
    <w:p>
      <w:pPr>
        <w:pStyle w:val="FirstParagraph"/>
      </w:pPr>
      <w:r>
        <w:t xml:space="preserve">المحضر الجيد لا ينقل كل الكلام حرفيًا، بل يوثق النتائج والقرارات والمسؤوليات والمهل.</w:t>
      </w:r>
    </w:p>
    <w:bookmarkEnd w:id="42"/>
    <w:bookmarkStart w:id="43" w:name="متابعة-القرارات"/>
    <w:p>
      <w:pPr>
        <w:pStyle w:val="Heading3"/>
      </w:pPr>
      <w:r>
        <w:t xml:space="preserve">4.1.3 متابعة القرارات</w:t>
      </w:r>
    </w:p>
    <w:p>
      <w:pPr>
        <w:pStyle w:val="FirstParagraph"/>
      </w:pPr>
      <w:r>
        <w:t xml:space="preserve">لا ينتهي القرار عند كتابته في المحضر. يجب إدخاله في جدول متابعة واضح يحدد المسؤول والمهلة والحالة.</w:t>
      </w:r>
    </w:p>
    <w:bookmarkEnd w:id="43"/>
    <w:bookmarkStart w:id="44" w:name="إدارة-السجلات"/>
    <w:p>
      <w:pPr>
        <w:pStyle w:val="Heading3"/>
      </w:pPr>
      <w:r>
        <w:t xml:space="preserve">4.1.4 إدارة السجلات</w:t>
      </w:r>
    </w:p>
    <w:p>
      <w:pPr>
        <w:pStyle w:val="FirstParagraph"/>
      </w:pPr>
      <w:r>
        <w:t xml:space="preserve">تشمل السجلات الأساسية سجل الاجتماعات، سجل القرارات، سجل المراسلات، سجل الأنشطة، وسجل القادة والمسؤوليات.</w:t>
      </w:r>
    </w:p>
    <w:bookmarkEnd w:id="44"/>
    <w:bookmarkStart w:id="45" w:name="حفظ-المراسلات"/>
    <w:p>
      <w:pPr>
        <w:pStyle w:val="Heading3"/>
      </w:pPr>
      <w:r>
        <w:t xml:space="preserve">4.1.5 حفظ المراسلات</w:t>
      </w:r>
    </w:p>
    <w:p>
      <w:pPr>
        <w:pStyle w:val="FirstParagraph"/>
      </w:pPr>
      <w:r>
        <w:t xml:space="preserve">كل مراسلة مهمة يجب أن تُحفظ في الأرشيف الرسمي، لا أن تبقى فقط في البريد أو تطبيقات المحادثة.</w:t>
      </w:r>
    </w:p>
    <w:bookmarkEnd w:id="45"/>
    <w:bookmarkStart w:id="46" w:name="أرشفة-الملفات"/>
    <w:p>
      <w:pPr>
        <w:pStyle w:val="Heading3"/>
      </w:pPr>
      <w:r>
        <w:t xml:space="preserve">4.1.6 أرشفة الملفات</w:t>
      </w:r>
    </w:p>
    <w:p>
      <w:pPr>
        <w:pStyle w:val="FirstParagraph"/>
      </w:pPr>
      <w:r>
        <w:t xml:space="preserve">الأرشفة الجيدة تعني أن يكون الملف في مكانه الصحيح، باسمه الواضح، وبنسخته النهائية المناسبة.</w:t>
      </w:r>
    </w:p>
    <w:bookmarkEnd w:id="46"/>
    <w:bookmarkEnd w:id="47"/>
    <w:bookmarkStart w:id="50" w:name="حدود-صلاحيات-أمين-السر"/>
    <w:p>
      <w:pPr>
        <w:pStyle w:val="Heading2"/>
      </w:pPr>
      <w:r>
        <w:t xml:space="preserve">4.2 حدود صلاحيات أمين السر</w:t>
      </w:r>
    </w:p>
    <w:bookmarkStart w:id="48" w:name="ما-يقوم-به-أمين-السر"/>
    <w:p>
      <w:pPr>
        <w:pStyle w:val="Heading3"/>
      </w:pPr>
      <w:r>
        <w:t xml:space="preserve">4.2.1 ما يقوم به أمين السر</w:t>
      </w:r>
    </w:p>
    <w:p>
      <w:pPr>
        <w:pStyle w:val="FirstParagraph"/>
      </w:pPr>
      <w:r>
        <w:t xml:space="preserve">يوثق، ينظم، يتابع، يحفظ، ويرفع المعلومات الإدارية بوضوح للقيادة.</w:t>
      </w:r>
    </w:p>
    <w:bookmarkEnd w:id="48"/>
    <w:bookmarkStart w:id="49" w:name="ما-لا-يقوم-به-أمين-السر"/>
    <w:p>
      <w:pPr>
        <w:pStyle w:val="Heading3"/>
      </w:pPr>
      <w:r>
        <w:t xml:space="preserve">4.2.2 ما لا يقوم به أمين السر</w:t>
      </w:r>
    </w:p>
    <w:p>
      <w:pPr>
        <w:pStyle w:val="FirstParagraph"/>
      </w:pPr>
      <w:r>
        <w:t xml:space="preserve">لا يتخذ القرار بدل القائد، ولا يغيّر قرارًا معتمدًا، ولا يشارك الملفات الحساسة دون صلاحية.</w:t>
      </w:r>
    </w:p>
    <w:bookmarkEnd w:id="49"/>
    <w:bookmarkEnd w:id="50"/>
    <w:bookmarkEnd w:id="51"/>
    <w:bookmarkStart w:id="56" w:name="الملاحق"/>
    <w:p>
      <w:pPr>
        <w:pStyle w:val="Heading1"/>
      </w:pPr>
      <w:r>
        <w:t xml:space="preserve">5. الملاحق</w:t>
      </w:r>
    </w:p>
    <w:bookmarkStart w:id="53" w:name="ملحق-المصطلحات"/>
    <w:p>
      <w:pPr>
        <w:pStyle w:val="Heading2"/>
      </w:pPr>
      <w:r>
        <w:t xml:space="preserve">5.1 ملحق المصطلحات</w:t>
      </w:r>
    </w:p>
    <w:bookmarkStart w:id="52" w:name="مصطلحات-الاجتماعات"/>
    <w:p>
      <w:pPr>
        <w:pStyle w:val="Heading3"/>
      </w:pPr>
      <w:r>
        <w:t xml:space="preserve">5.1.1 مصطلحات الاجتماعات</w:t>
      </w:r>
    </w:p>
    <w:p>
      <w:pPr>
        <w:pStyle w:val="Compact"/>
        <w:numPr>
          <w:ilvl w:val="0"/>
          <w:numId w:val="1003"/>
        </w:numPr>
      </w:pPr>
      <w:r>
        <w:t xml:space="preserve">الاجتماع: لقاء رسمي أو تنظيمي لمناقشة مواضيع محددة.</w:t>
      </w:r>
    </w:p>
    <w:p>
      <w:pPr>
        <w:pStyle w:val="Compact"/>
        <w:numPr>
          <w:ilvl w:val="0"/>
          <w:numId w:val="1003"/>
        </w:numPr>
      </w:pPr>
      <w:r>
        <w:t xml:space="preserve">جدول الأعمال: قائمة المواضيع التي ستناقش في الاجتماع.</w:t>
      </w:r>
    </w:p>
    <w:p>
      <w:pPr>
        <w:pStyle w:val="Compact"/>
        <w:numPr>
          <w:ilvl w:val="0"/>
          <w:numId w:val="1003"/>
        </w:numPr>
      </w:pPr>
      <w:r>
        <w:t xml:space="preserve">المحضر: وثيقة تلخص ما جرى في الاجتماع والقرارات الناتجة عنه.</w:t>
      </w:r>
    </w:p>
    <w:bookmarkEnd w:id="52"/>
    <w:bookmarkEnd w:id="53"/>
    <w:bookmarkStart w:id="55" w:name="ملحق-النماذج-المختصرة"/>
    <w:p>
      <w:pPr>
        <w:pStyle w:val="Heading2"/>
      </w:pPr>
      <w:r>
        <w:t xml:space="preserve">5.2 ملحق النماذج المختصرة</w:t>
      </w:r>
    </w:p>
    <w:bookmarkStart w:id="54" w:name="نموذج-محضر-مختصر"/>
    <w:p>
      <w:pPr>
        <w:pStyle w:val="Heading3"/>
      </w:pPr>
      <w:r>
        <w:t xml:space="preserve">5.2.1 نموذج محضر مختصر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الحقل</w:t>
            </w:r>
          </w:p>
        </w:tc>
        <w:tc>
          <w:tcPr/>
          <w:p>
            <w:pPr>
              <w:pStyle w:val="Compact"/>
            </w:pPr>
            <w:r>
              <w:t xml:space="preserve">القيمة</w:t>
            </w:r>
          </w:p>
        </w:tc>
      </w:tr>
      <w:tr>
        <w:tc>
          <w:tcPr/>
          <w:p>
            <w:pPr>
              <w:pStyle w:val="Compact"/>
            </w:pPr>
            <w:r>
              <w:t xml:space="preserve">الجهة</w:t>
            </w:r>
          </w:p>
        </w:tc>
        <w:tc>
          <w:tcPr/>
          <w:p>
            <w:pPr>
              <w:pStyle w:val="Compact"/>
            </w:pPr>
          </w:p>
        </w:tc>
      </w:tr>
      <w:tr>
        <w:tc>
          <w:tcPr/>
          <w:p>
            <w:pPr>
              <w:pStyle w:val="Compact"/>
            </w:pPr>
            <w:r>
              <w:t xml:space="preserve">رقم الاجتماع</w:t>
            </w:r>
          </w:p>
        </w:tc>
        <w:tc>
          <w:tcPr/>
          <w:p>
            <w:pPr>
              <w:pStyle w:val="Compact"/>
            </w:pPr>
          </w:p>
        </w:tc>
      </w:tr>
      <w:tr>
        <w:tc>
          <w:tcPr/>
          <w:p>
            <w:pPr>
              <w:pStyle w:val="Compact"/>
            </w:pPr>
            <w:r>
              <w:t xml:space="preserve">التاريخ</w:t>
            </w:r>
          </w:p>
        </w:tc>
        <w:tc>
          <w:tcPr/>
          <w:p>
            <w:pPr>
              <w:pStyle w:val="Compact"/>
            </w:pPr>
          </w:p>
        </w:tc>
      </w:tr>
      <w:tr>
        <w:tc>
          <w:tcPr/>
          <w:p>
            <w:pPr>
              <w:pStyle w:val="Compact"/>
            </w:pPr>
            <w:r>
              <w:t xml:space="preserve">الحضور</w:t>
            </w:r>
          </w:p>
        </w:tc>
        <w:tc>
          <w:tcPr/>
          <w:p>
            <w:pPr>
              <w:pStyle w:val="Compact"/>
            </w:pPr>
          </w:p>
        </w:tc>
      </w:tr>
      <w:tr>
        <w:tc>
          <w:tcPr/>
          <w:p>
            <w:pPr>
              <w:pStyle w:val="Compact"/>
            </w:pPr>
            <w:r>
              <w:t xml:space="preserve">القرارات</w:t>
            </w:r>
          </w:p>
        </w:tc>
        <w:tc>
          <w:tcPr/>
          <w:p>
            <w:pPr>
              <w:pStyle w:val="Compact"/>
            </w:pPr>
          </w:p>
        </w:tc>
      </w:tr>
      <w:tr>
        <w:tc>
          <w:tcPr/>
          <w:p>
            <w:pPr>
              <w:pStyle w:val="Compact"/>
            </w:pPr>
            <w:r>
              <w:t xml:space="preserve">المرفقات</w:t>
            </w:r>
          </w:p>
        </w:tc>
        <w:tc>
          <w:tcPr/>
          <w:p>
            <w:pPr>
              <w:pStyle w:val="Compact"/>
            </w:pPr>
          </w:p>
        </w:tc>
      </w:tr>
    </w:tbl>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أمانة السر الكشفية</dc:title>
  <dc:creator>القائد مصطفى خزعل</dc:creator>
  <cp:keywords/>
  <dcterms:created xsi:type="dcterms:W3CDTF">2026-06-17T11:02:04Z</dcterms:created>
  <dcterms:modified xsi:type="dcterms:W3CDTF">2026-06-17T11:02:04Z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منهجية موحّدة لأمناء السر في الكشاف المسلم</vt:lpwstr>
  </property>
  <property fmtid="{D5CDD505-2E9C-101B-9397-08002B2CF9AE}" pid="13" name="template-partials">
    <vt:lpwstr/>
  </property>
  <property fmtid="{D5CDD505-2E9C-101B-9397-08002B2CF9AE}" pid="14" name="toc-title">
    <vt:lpwstr>Table of contents</vt:lpwstr>
  </property>
</Properties>
</file>