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242"/>
        <w:ind w:left="6099"/>
      </w:pPr>
      <w:r>
        <w:rPr>
          <w:rFonts w:ascii="Times New Roman" w:hAnsi="Times New Roman" w:cs="Times New Roman" w:eastAsia="Times New Roman"/>
          <w:sz w:val="18"/>
        </w:rPr>
        <w:t>Форма является приложением 6.52</w:t>
      </w:r>
    </w:p>
    <w:p>
      <w:pPr>
        <w:widowControl w:val="0"/>
        <w:spacing w:before="0" w:after="65" w:lineRule="exact" w:line="216"/>
        <w:ind w:left="6099"/>
      </w:pPr>
      <w:r>
        <w:rPr>
          <w:rFonts w:ascii="Times New Roman" w:hAnsi="Times New Roman" w:cs="Times New Roman" w:eastAsia="Times New Roman"/>
          <w:sz w:val="18"/>
        </w:rPr>
        <w:t>к Графику документооборота в ОАО «Мозырский НПЗ»</w:t>
      </w:r>
    </w:p>
    <w:p>
      <w:pPr>
        <w:widowControl w:val="0"/>
        <w:spacing w:before="0" w:after="0" w:lineRule="atLeast" w:line="242"/>
        <w:ind w:left="0"/>
      </w:pPr>
      <w:r>
        <w:rPr>
          <w:rFonts w:ascii="Times New Roman" w:hAnsi="Times New Roman" w:cs="Times New Roman" w:eastAsia="Times New Roman"/>
          <w:sz w:val="18"/>
        </w:rPr>
        <w:t>Открытое акционерное общество</w:t>
      </w:r>
    </w:p>
    <w:p>
      <w:pPr>
        <w:widowControl w:val="0"/>
        <w:spacing w:before="0" w:after="0" w:lineRule="atLeast" w:line="242"/>
        <w:ind w:left="0"/>
      </w:pPr>
      <w:r>
        <w:rPr>
          <w:rFonts w:ascii="Times New Roman" w:hAnsi="Times New Roman" w:cs="Times New Roman" w:eastAsia="Times New Roman"/>
          <w:sz w:val="18"/>
        </w:rPr>
        <w:t>"Мозырский</w:t>
      </w:r>
    </w:p>
    <w:p>
      <w:pPr>
        <w:widowControl w:val="0"/>
        <w:spacing w:before="0" w:after="84" w:lineRule="exact" w:line="216"/>
        <w:ind w:left="0"/>
      </w:pPr>
      <w:r>
        <w:rPr>
          <w:rFonts w:ascii="Times New Roman" w:hAnsi="Times New Roman" w:cs="Times New Roman" w:eastAsia="Times New Roman"/>
          <w:sz w:val="18"/>
        </w:rPr>
        <w:t>нефтеперерабатывающий завод"</w:t>
      </w:r>
    </w:p>
    <w:p>
      <w:pPr>
        <w:widowControl w:val="0"/>
        <w:spacing w:before="0" w:after="0" w:lineRule="exact" w:line="77"/>
        <w:rPr>
          <w:sz w:val="3"/>
        </w:rPr>
      </w:pPr>
      <w:r>
        <w:rPr>
          <w:rFonts w:ascii="Times New Roman" w:hAnsi="Times New Roman" w:cs="Times New Roman" w:eastAsia="Times New Roman"/>
          <w:sz w:val="3"/>
        </w:rPr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3"/>
        </w:rPr>
        <w:t>АКТ</w:t>
      </w:r>
    </w:p>
    <w:p>
      <w:pPr>
        <w:widowControl w:val="0"/>
        <w:spacing w:before="0" w:after="65" w:lineRule="exact" w:line="216"/>
        <w:ind w:left="0"/>
      </w:pPr>
      <w:r>
        <w:rPr>
          <w:rFonts w:ascii="Times New Roman" w:hAnsi="Times New Roman" w:cs="Times New Roman" w:eastAsia="Times New Roman"/>
          <w:sz w:val="18"/>
        </w:rPr>
        <w:t>инвентаризации доходов будущих периодов</w:t>
      </w:r>
    </w:p>
    <w:p>
      <w:pPr>
        <w:widowControl w:val="0"/>
        <w:spacing w:before="0" w:after="0" w:lineRule="atLeast" w:line="194"/>
        <w:ind w:left="0"/>
      </w:pPr>
      <w:r>
        <w:rPr>
          <w:rFonts w:ascii="Times New Roman" w:hAnsi="Times New Roman" w:cs="Times New Roman" w:eastAsia="Times New Roman"/>
          <w:sz w:val="15"/>
        </w:rPr>
        <w:t>№ _____________</w:t>
      </w:r>
    </w:p>
    <w:p>
      <w:pPr>
        <w:widowControl w:val="0"/>
        <w:spacing w:before="0" w:after="0" w:lineRule="exact" w:line="203"/>
        <w:rPr>
          <w:sz w:val="16"/>
        </w:rPr>
      </w:pPr>
      <w:r>
        <w:rPr>
          <w:rFonts w:ascii="Times New Roman" w:hAnsi="Times New Roman" w:cs="Times New Roman" w:eastAsia="Times New Roman"/>
          <w:sz w:val="16"/>
        </w:rPr>
      </w:r>
    </w:p>
    <w:p>
      <w:pPr>
        <w:widowControl w:val="0"/>
        <w:tabs>
          <w:tab w:pos="3174" w:val="left"/>
          <w:tab w:pos="4509" w:val="left" w:leader="underscore"/>
          <w:tab w:pos="5738" w:val="left" w:leader="underscore"/>
          <w:tab w:pos="6977" w:val="left" w:leader="underscore"/>
          <w:tab w:pos="8341" w:val="left" w:leader="underscore"/>
          <w:tab w:pos="9656" w:val="left" w:leader="underscore"/>
          <w:tab w:pos="10895" w:val="left" w:leader="underscore"/>
          <w:tab w:pos="13206" w:val="left"/>
          <w:tab w:pos="14570" w:val="left" w:leader="underscore"/>
        </w:tabs>
        <w:spacing w:before="0" w:after="0" w:lineRule="atLeast" w:line="203"/>
        <w:ind w:left="0"/>
      </w:pPr>
      <w:r>
        <w:rPr>
          <w:rFonts w:ascii="Times New Roman" w:hAnsi="Times New Roman" w:cs="Times New Roman" w:eastAsia="Times New Roman"/>
          <w:sz w:val="15"/>
        </w:rPr>
        <w:t>Подразделение организации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</w:p>
    <w:p>
      <w:pPr>
        <w:widowControl w:val="0"/>
        <w:tabs>
          <w:tab w:pos="10895" w:val="left"/>
          <w:tab w:pos="13206" w:val="left"/>
          <w:tab w:pos="14570" w:val="left" w:leader="underscore"/>
        </w:tabs>
        <w:spacing w:before="0" w:after="0" w:lineRule="atLeast" w:line="203"/>
        <w:ind w:left="0"/>
      </w:pPr>
      <w:r>
        <w:rPr>
          <w:rFonts w:ascii="Times New Roman" w:hAnsi="Times New Roman" w:cs="Times New Roman" w:eastAsia="Times New Roman"/>
          <w:sz w:val="15"/>
        </w:rPr>
        <w:t>Основание для проведения, инвентаризации: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>Дата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</w:p>
    <w:p>
      <w:pPr>
        <w:widowControl w:val="0"/>
        <w:tabs>
          <w:tab w:pos="10895" w:val="left"/>
          <w:tab w:pos="13206" w:val="left"/>
          <w:tab w:pos="14570" w:val="left" w:leader="underscore"/>
        </w:tabs>
        <w:spacing w:before="0" w:after="0" w:lineRule="atLeast" w:line="203"/>
        <w:ind w:left="0"/>
      </w:pPr>
      <w:r>
        <w:rPr>
          <w:rFonts w:ascii="Times New Roman" w:hAnsi="Times New Roman" w:cs="Times New Roman" w:eastAsia="Times New Roman"/>
          <w:sz w:val="15"/>
        </w:rPr>
        <w:t>приказ, постановление, распоряжение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>Номер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</w:p>
    <w:p>
      <w:pPr>
        <w:widowControl w:val="0"/>
        <w:tabs>
          <w:tab w:pos="10895" w:val="left"/>
          <w:tab w:pos="13206" w:val="left"/>
          <w:tab w:pos="14570" w:val="left" w:leader="underscore"/>
        </w:tabs>
        <w:spacing w:before="0" w:after="0" w:lineRule="atLeast" w:line="203"/>
        <w:ind w:left="0"/>
      </w:pPr>
      <w:r>
        <w:rPr>
          <w:rFonts w:ascii="Times New Roman" w:hAnsi="Times New Roman" w:cs="Times New Roman" w:eastAsia="Times New Roman"/>
          <w:sz w:val="15"/>
        </w:rPr>
        <w:t>(ненужное зачеркнуть)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>Дата начала инвентаризации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</w:p>
    <w:p>
      <w:pPr>
        <w:widowControl w:val="0"/>
        <w:tabs>
          <w:tab w:pos="13206" w:val="left"/>
          <w:tab w:pos="14570" w:val="left" w:leader="underscore"/>
        </w:tabs>
        <w:spacing w:before="0" w:after="0" w:lineRule="atLeast" w:line="203"/>
        <w:ind w:left="10895"/>
      </w:pPr>
      <w:r>
        <w:rPr>
          <w:rFonts w:ascii="Times New Roman" w:hAnsi="Times New Roman" w:cs="Times New Roman" w:eastAsia="Times New Roman"/>
          <w:sz w:val="15"/>
        </w:rPr>
        <w:t>Дата окончания инвентаризации</w:t>
      </w:r>
      <w:r>
        <w:rPr>
          <w:rFonts w:ascii="Times New Roman" w:hAnsi="Times New Roman" w:cs="Times New Roman" w:eastAsia="Times New Roman"/>
          <w:sz w:val="15"/>
        </w:rPr>
        <w:tab/>
      </w:r>
      <w:r>
        <w:rPr>
          <w:rFonts w:ascii="Times New Roman" w:hAnsi="Times New Roman" w:cs="Times New Roman" w:eastAsia="Times New Roman"/>
          <w:sz w:val="15"/>
        </w:rPr>
        <w:tab/>
      </w:r>
    </w:p>
    <w:p>
      <w:pPr>
        <w:widowControl w:val="0"/>
        <w:spacing w:before="0" w:after="0" w:lineRule="exact" w:line="203"/>
        <w:rPr>
          <w:sz w:val="16"/>
        </w:rPr>
      </w:pPr>
      <w:r>
        <w:rPr>
          <w:rFonts w:ascii="Times New Roman" w:hAnsi="Times New Roman" w:cs="Times New Roman" w:eastAsia="Times New Roman"/>
          <w:sz w:val="16"/>
        </w:rPr>
      </w:r>
    </w:p>
    <w:p>
      <w:pPr>
        <w:widowControl w:val="0"/>
        <w:spacing w:before="0" w:after="0" w:lineRule="atLeast" w:line="203"/>
        <w:ind w:left="13206"/>
      </w:pPr>
      <w:r>
        <w:rPr>
          <w:rFonts w:ascii="Times New Roman" w:hAnsi="Times New Roman" w:cs="Times New Roman" w:eastAsia="Times New Roman"/>
          <w:sz w:val="15"/>
        </w:rPr>
        <w:t>бел. руб.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532"/>
        <w:gridCol w:w="2642"/>
        <w:gridCol w:w="1335"/>
        <w:gridCol w:w="1229"/>
        <w:gridCol w:w="1239"/>
        <w:gridCol w:w="1364"/>
        <w:gridCol w:w="1315"/>
        <w:gridCol w:w="1239"/>
        <w:gridCol w:w="1247"/>
        <w:gridCol w:w="1064"/>
        <w:gridCol w:w="1364"/>
      </w:tblGrid>
      <w:tr>
        <w:trPr>
          <w:trHeight w:val="426" w:hRule="atLeast"/>
          <w:cantSplit/>
        </w:trPr>
        <w:tc>
          <w:tcPr>
            <w:tcW w:type="dxa" w:w="53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№ пп</w:t>
            </w:r>
          </w:p>
        </w:tc>
        <w:tc>
          <w:tcPr>
            <w:tcW w:type="dxa" w:w="264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Вид дохода</w:t>
            </w:r>
          </w:p>
        </w:tc>
        <w:tc>
          <w:tcPr>
            <w:tcW w:type="dxa" w:w="133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Первоначальная сумма доходов</w:t>
            </w:r>
          </w:p>
        </w:tc>
        <w:tc>
          <w:tcPr>
            <w:tcW w:type="dxa" w:w="122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Дата возникновения доходов</w:t>
            </w:r>
          </w:p>
        </w:tc>
        <w:tc>
          <w:tcPr>
            <w:tcW w:type="dxa" w:w="123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Срок погашения доходов                    (по месяцам)</w:t>
            </w:r>
          </w:p>
        </w:tc>
        <w:tc>
          <w:tcPr>
            <w:tcW w:type="dxa" w:w="136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Расчетная сумма к списанию</w:t>
            </w:r>
          </w:p>
        </w:tc>
        <w:tc>
          <w:tcPr>
            <w:tcW w:type="dxa" w:w="131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Списано (погашено) доходов до начала инвентаризации</w:t>
            </w:r>
          </w:p>
        </w:tc>
        <w:tc>
          <w:tcPr>
            <w:tcW w:type="dxa" w:w="1239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Остаток доходов на начало инвентаризации по данным учета</w:t>
            </w:r>
          </w:p>
        </w:tc>
        <w:tc>
          <w:tcPr>
            <w:tcW w:type="dxa" w:w="124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Расчётный остаток доходов, подлежащий погашению в будущем периоде</w:t>
            </w:r>
          </w:p>
        </w:tc>
        <w:tc>
          <w:tcPr>
            <w:tcW w:type="dxa" w:w="2428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Результаты инвентаризации</w:t>
            </w:r>
          </w:p>
        </w:tc>
      </w:tr>
      <w:tr>
        <w:trPr>
          <w:trHeight w:val="1104" w:hRule="atLeast"/>
          <w:cantSplit/>
        </w:trPr>
        <w:tc>
          <w:tcPr>
            <w:tcW w:type="dxa" w:w="532"/>
            <w:vMerge/>
          </w:tcPr>
          <w:p/>
        </w:tc>
        <w:tc>
          <w:tcPr>
            <w:tcW w:type="dxa" w:w="2642"/>
            <w:vMerge/>
          </w:tcPr>
          <w:p/>
        </w:tc>
        <w:tc>
          <w:tcPr>
            <w:tcW w:type="dxa" w:w="1335"/>
            <w:vMerge/>
          </w:tcPr>
          <w:p/>
        </w:tc>
        <w:tc>
          <w:tcPr>
            <w:tcW w:type="dxa" w:w="1229"/>
            <w:vMerge/>
          </w:tcPr>
          <w:p/>
        </w:tc>
        <w:tc>
          <w:tcPr>
            <w:tcW w:type="dxa" w:w="1239"/>
            <w:vMerge/>
          </w:tcPr>
          <w:p/>
        </w:tc>
        <w:tc>
          <w:tcPr>
            <w:tcW w:type="dxa" w:w="1364"/>
            <w:vMerge/>
          </w:tcPr>
          <w:p/>
        </w:tc>
        <w:tc>
          <w:tcPr>
            <w:tcW w:type="dxa" w:w="1315"/>
            <w:vMerge/>
          </w:tcPr>
          <w:p/>
        </w:tc>
        <w:tc>
          <w:tcPr>
            <w:tcW w:type="dxa" w:w="1239"/>
            <w:vMerge/>
          </w:tcPr>
          <w:p/>
        </w:tc>
        <w:tc>
          <w:tcPr>
            <w:tcW w:type="dxa" w:w="1247"/>
            <w:vMerge/>
          </w:tcPr>
          <w:p/>
        </w:tc>
        <w:tc>
          <w:tcPr>
            <w:tcW w:type="dxa" w:w="10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подлежит досписанию</w:t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излишнее списание (подлежит восстановлению)</w:t>
            </w:r>
          </w:p>
        </w:tc>
      </w:tr>
      <w:tr>
        <w:trPr>
          <w:trHeight w:val="203" w:hRule="atLeast"/>
          <w:cantSplit/>
        </w:trPr>
        <w:tc>
          <w:tcPr>
            <w:tcW w:type="dxa" w:w="5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1</w:t>
            </w:r>
          </w:p>
        </w:tc>
        <w:tc>
          <w:tcPr>
            <w:tcW w:type="dxa" w:w="26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2</w:t>
            </w:r>
          </w:p>
        </w:tc>
        <w:tc>
          <w:tcPr>
            <w:tcW w:type="dxa" w:w="13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3</w:t>
            </w:r>
          </w:p>
        </w:tc>
        <w:tc>
          <w:tcPr>
            <w:tcW w:type="dxa" w:w="12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4</w:t>
            </w:r>
          </w:p>
        </w:tc>
        <w:tc>
          <w:tcPr>
            <w:tcW w:type="dxa" w:w="1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5</w:t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6</w:t>
            </w:r>
          </w:p>
        </w:tc>
        <w:tc>
          <w:tcPr>
            <w:tcW w:type="dxa" w:w="13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7</w:t>
            </w:r>
          </w:p>
        </w:tc>
        <w:tc>
          <w:tcPr>
            <w:tcW w:type="dxa" w:w="1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8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9</w:t>
            </w:r>
          </w:p>
        </w:tc>
        <w:tc>
          <w:tcPr>
            <w:tcW w:type="dxa" w:w="10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10</w:t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  <w:t>11</w:t>
            </w:r>
          </w:p>
        </w:tc>
      </w:tr>
      <w:tr>
        <w:trPr>
          <w:trHeight w:val="203" w:hRule="atLeast"/>
          <w:cantSplit/>
        </w:trPr>
        <w:tc>
          <w:tcPr>
            <w:tcW w:type="dxa" w:w="5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26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3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2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3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0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5"/>
              </w:rPr>
            </w:r>
          </w:p>
        </w:tc>
      </w:tr>
      <w:tr>
        <w:trPr>
          <w:trHeight w:val="182" w:hRule="atLeast"/>
          <w:cantSplit/>
        </w:trPr>
        <w:tc>
          <w:tcPr>
            <w:tcW w:type="dxa" w:w="3174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15"/>
              </w:rPr>
              <w:t>Итого по акту:</w:t>
            </w:r>
          </w:p>
        </w:tc>
        <w:tc>
          <w:tcPr>
            <w:tcW w:type="dxa" w:w="13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  <w:tc>
          <w:tcPr>
            <w:tcW w:type="dxa" w:w="12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4"/>
              </w:rPr>
              <w:t>Х</w:t>
            </w:r>
          </w:p>
        </w:tc>
        <w:tc>
          <w:tcPr>
            <w:tcW w:type="dxa" w:w="1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4"/>
              </w:rPr>
              <w:t>Х</w:t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  <w:tc>
          <w:tcPr>
            <w:tcW w:type="dxa" w:w="13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  <w:tc>
          <w:tcPr>
            <w:tcW w:type="dxa" w:w="12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  <w:tc>
          <w:tcPr>
            <w:tcW w:type="dxa" w:w="10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  <w:tc>
          <w:tcPr>
            <w:tcW w:type="dxa" w:w="136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4"/>
              </w:rPr>
            </w:r>
          </w:p>
        </w:tc>
      </w:tr>
    </w:tbl>
    <w:p>
      <w:pPr>
        <w:widowControl w:val="0"/>
        <w:spacing w:before="0" w:after="0" w:lineRule="exact" w:line="194"/>
        <w:rPr>
          <w:sz w:val="15"/>
        </w:rPr>
      </w:pPr>
      <w:r>
        <w:rPr>
          <w:rFonts w:ascii="Times New Roman" w:hAnsi="Times New Roman" w:cs="Times New Roman" w:eastAsia="Times New Roman"/>
          <w:sz w:val="15"/>
        </w:rPr>
      </w:r>
    </w:p>
    <w:p>
      <w:pPr>
        <w:widowControl w:val="0"/>
        <w:tabs>
          <w:tab w:pos="3174" w:val="left"/>
          <w:tab w:pos="4509" w:val="left" w:leader="underscore"/>
          <w:tab w:pos="5738" w:val="left" w:leader="underscore"/>
          <w:tab w:pos="6977" w:val="left" w:leader="underscore"/>
          <w:tab w:pos="8341" w:val="left" w:leader="underscore"/>
        </w:tabs>
        <w:spacing w:before="0" w:after="0" w:lineRule="atLeast" w:line="242"/>
        <w:ind w:left="0"/>
      </w:pPr>
      <w:r>
        <w:rPr>
          <w:rFonts w:ascii="Times New Roman" w:hAnsi="Times New Roman" w:cs="Times New Roman" w:eastAsia="Times New Roman"/>
          <w:sz w:val="18"/>
        </w:rPr>
        <w:t>Председатель комиссии</w:t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Calibri" w:hAnsi="Calibri" w:cs="Calibri" w:eastAsia="Calibri"/>
          <w:sz w:val="18"/>
        </w:rPr>
        <w:tab/>
      </w:r>
    </w:p>
    <w:p>
      <w:pPr>
        <w:widowControl w:val="0"/>
        <w:spacing w:before="0" w:after="180" w:lineRule="exact" w:line="120"/>
        <w:ind w:left="3174" w:right="6229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3174" w:val="left"/>
          <w:tab w:pos="4509" w:val="left" w:leader="underscore"/>
          <w:tab w:pos="5738" w:val="left" w:leader="underscore"/>
          <w:tab w:pos="6977" w:val="left" w:leader="underscore"/>
          <w:tab w:pos="8341" w:val="left" w:leader="underscore"/>
        </w:tabs>
        <w:spacing w:before="0" w:after="0" w:lineRule="atLeast" w:line="242"/>
        <w:ind w:left="0"/>
      </w:pPr>
      <w:r>
        <w:rPr>
          <w:rFonts w:ascii="Times New Roman" w:hAnsi="Times New Roman" w:cs="Times New Roman" w:eastAsia="Times New Roman"/>
          <w:sz w:val="18"/>
        </w:rPr>
        <w:t>Члены комиссии</w:t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Calibri" w:hAnsi="Calibri" w:cs="Calibri" w:eastAsia="Calibri"/>
          <w:sz w:val="18"/>
        </w:rPr>
        <w:tab/>
      </w:r>
    </w:p>
    <w:p>
      <w:pPr>
        <w:widowControl w:val="0"/>
        <w:spacing w:before="0" w:after="170" w:lineRule="exact" w:line="120"/>
        <w:ind w:left="3174" w:right="6229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p>
      <w:pPr>
        <w:widowControl w:val="0"/>
        <w:tabs>
          <w:tab w:pos="3174" w:val="left"/>
          <w:tab w:pos="4509" w:val="left" w:leader="underscore"/>
          <w:tab w:pos="5738" w:val="left" w:leader="underscore"/>
          <w:tab w:pos="6977" w:val="left" w:leader="underscore"/>
          <w:tab w:pos="8341" w:val="left" w:leader="underscore"/>
        </w:tabs>
        <w:spacing w:before="0" w:after="0" w:lineRule="atLeast" w:line="242"/>
      </w:pP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Times New Roman" w:hAnsi="Times New Roman" w:cs="Times New Roman" w:eastAsia="Times New Roman"/>
          <w:sz w:val="18"/>
        </w:rPr>
        <w:tab/>
      </w:r>
      <w:r>
        <w:rPr>
          <w:rFonts w:ascii="Calibri" w:hAnsi="Calibri" w:cs="Calibri" w:eastAsia="Calibri"/>
          <w:sz w:val="18"/>
        </w:rPr>
        <w:tab/>
      </w:r>
    </w:p>
    <w:p>
      <w:pPr>
        <w:widowControl w:val="0"/>
        <w:spacing w:before="0" w:after="83" w:lineRule="exact" w:line="120"/>
        <w:ind w:left="3174" w:right="6229"/>
        <w:jc w:val="center"/>
      </w:pPr>
      <w:r>
        <w:rPr>
          <w:rFonts w:ascii="Times New Roman" w:hAnsi="Times New Roman" w:cs="Times New Roman" w:eastAsia="Times New Roman"/>
          <w:sz w:val="10"/>
        </w:rPr>
        <w:t>(должность служащего (профессия рабочего), подпись, инициалы, фамилия)</w:t>
      </w:r>
    </w:p>
    <w:sectPr w:rsidR="00FC693F" w:rsidRPr="0006063C" w:rsidSect="00034616">
      <w:pgSz w:w="16838" w:h="11906" w:orient="landscape"/>
      <w:pgMar w:top="1191" w:right="567" w:bottom="1134" w:left="1701" w:header="73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