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75"/>
        <w:ind w:left="7560"/>
      </w:pPr>
      <w:r>
        <w:rPr>
          <w:rFonts w:ascii="Times New Roman" w:hAnsi="Times New Roman" w:cs="Times New Roman" w:eastAsia="Times New Roman"/>
          <w:sz w:val="28"/>
        </w:rPr>
        <w:t>Форма является приложением 8.23</w:t>
      </w:r>
    </w:p>
    <w:p>
      <w:pPr>
        <w:widowControl w:val="0"/>
        <w:spacing w:before="0" w:after="0" w:lineRule="atLeast" w:line="375"/>
        <w:ind w:left="7560"/>
      </w:pPr>
      <w:r>
        <w:rPr>
          <w:rFonts w:ascii="Times New Roman" w:hAnsi="Times New Roman" w:cs="Times New Roman" w:eastAsia="Times New Roman"/>
          <w:sz w:val="28"/>
        </w:rPr>
        <w:t>к Графику документооборота</w:t>
      </w:r>
    </w:p>
    <w:p>
      <w:pPr>
        <w:widowControl w:val="0"/>
        <w:spacing w:before="0" w:after="0" w:lineRule="atLeast" w:line="375"/>
        <w:ind w:left="7560"/>
      </w:pPr>
      <w:r>
        <w:rPr>
          <w:rFonts w:ascii="Times New Roman" w:hAnsi="Times New Roman" w:cs="Times New Roman" w:eastAsia="Times New Roman"/>
          <w:sz w:val="28"/>
        </w:rPr>
        <w:t>в ОАО "Мозырский НПЗ"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Открытое акционерное общество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"Мозырский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нефтеперерабатывающий завод"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90"/>
        <w:ind w:left="0"/>
      </w:pPr>
      <w:r>
        <w:rPr>
          <w:rFonts w:ascii="Times New Roman" w:hAnsi="Times New Roman" w:cs="Times New Roman" w:eastAsia="Times New Roman"/>
          <w:sz w:val="28"/>
        </w:rPr>
        <w:t>ВЕДОМОСТЬ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аналитического учёта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по счёту 18 "Налог на добавленную стоимость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по приобретённым товарам, работам, услугам"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 w:right="2310"/>
        <w:jc w:val="right"/>
      </w:pPr>
      <w:r>
        <w:rPr>
          <w:rFonts w:ascii="Times New Roman" w:hAnsi="Times New Roman" w:cs="Times New Roman" w:eastAsia="Times New Roman"/>
          <w:sz w:val="28"/>
        </w:rPr>
        <w:t>бел. руб.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960"/>
        <w:gridCol w:w="1438"/>
        <w:gridCol w:w="960"/>
        <w:gridCol w:w="1169"/>
        <w:gridCol w:w="1228"/>
        <w:gridCol w:w="1064"/>
        <w:gridCol w:w="960"/>
        <w:gridCol w:w="1169"/>
        <w:gridCol w:w="960"/>
        <w:gridCol w:w="960"/>
        <w:gridCol w:w="1394"/>
      </w:tblGrid>
      <w:tr>
        <w:trPr>
          <w:trHeight w:val="315" w:hRule="atLeast"/>
          <w:cantSplit/>
        </w:trPr>
        <w:tc>
          <w:tcPr>
            <w:tcW w:type="dxa" w:w="3358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Документ</w:t>
            </w:r>
          </w:p>
        </w:tc>
        <w:tc>
          <w:tcPr>
            <w:tcW w:type="dxa" w:w="116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Входящее сальдо по дебету счёта</w:t>
            </w:r>
          </w:p>
        </w:tc>
        <w:tc>
          <w:tcPr>
            <w:tcW w:type="dxa" w:w="2292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Дебет счёта</w:t>
            </w:r>
          </w:p>
        </w:tc>
        <w:tc>
          <w:tcPr>
            <w:tcW w:type="dxa" w:w="4049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Кредит счёта</w:t>
            </w:r>
          </w:p>
        </w:tc>
        <w:tc>
          <w:tcPr>
            <w:tcW w:type="dxa" w:w="139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Исходящее сальдо по дебету счёта</w:t>
            </w:r>
          </w:p>
        </w:tc>
      </w:tr>
      <w:tr>
        <w:trPr>
          <w:trHeight w:val="960" w:hRule="atLeast"/>
          <w:cantSplit/>
        </w:trPr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дата</w:t>
            </w:r>
          </w:p>
        </w:tc>
        <w:tc>
          <w:tcPr>
            <w:tcW w:type="dxa" w:w="1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№ документа</w:t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валюта, курс</w:t>
            </w:r>
          </w:p>
        </w:tc>
        <w:tc>
          <w:tcPr>
            <w:tcW w:type="dxa" w:w="1169"/>
            <w:vMerge/>
          </w:tcPr>
          <w:p/>
        </w:tc>
        <w:tc>
          <w:tcPr>
            <w:tcW w:type="dxa" w:w="12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кредит счёта</w:t>
            </w:r>
          </w:p>
        </w:tc>
        <w:tc>
          <w:tcPr>
            <w:tcW w:type="dxa" w:w="10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сумма</w:t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дата</w:t>
            </w:r>
          </w:p>
        </w:tc>
        <w:tc>
          <w:tcPr>
            <w:tcW w:type="dxa" w:w="11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№ документа</w:t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дебет счёта</w:t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сумма</w:t>
            </w:r>
          </w:p>
        </w:tc>
        <w:tc>
          <w:tcPr>
            <w:tcW w:type="dxa" w:w="1394"/>
            <w:vMerge/>
          </w:tcPr>
          <w:p/>
        </w:tc>
      </w:tr>
      <w:tr>
        <w:trPr>
          <w:trHeight w:val="315" w:hRule="atLeast"/>
          <w:cantSplit/>
        </w:trPr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1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2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0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1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</w:tbl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2398" w:val="left"/>
          <w:tab w:pos="8947" w:val="left" w:leader="underscore"/>
        </w:tabs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Исполнитель:</w:t>
      </w:r>
      <w:r>
        <w:rPr>
          <w:rFonts w:ascii="Calibri" w:hAnsi="Calibri" w:cs="Calibri" w:eastAsia="Calibri"/>
          <w:sz w:val="28"/>
        </w:rPr>
        <w:tab/>
      </w:r>
      <w:r>
        <w:rPr>
          <w:rFonts w:ascii="Calibri" w:hAnsi="Calibri" w:cs="Calibri" w:eastAsia="Calibri"/>
          <w:sz w:val="28"/>
        </w:rPr>
        <w:tab/>
      </w:r>
    </w:p>
    <w:p>
      <w:pPr>
        <w:widowControl w:val="0"/>
        <w:spacing w:before="0" w:after="108" w:lineRule="exact" w:line="192"/>
        <w:ind w:left="2398" w:right="5623"/>
        <w:jc w:val="center"/>
      </w:pPr>
      <w:r>
        <w:rPr>
          <w:rFonts w:ascii="Times New Roman" w:hAnsi="Times New Roman" w:cs="Times New Roman" w:eastAsia="Times New Roman"/>
          <w:sz w:val="16"/>
        </w:rPr>
        <w:t>(должность служащего (профессия рабочего), подпись, инициалы, фамилия, дата)</w:t>
      </w:r>
    </w:p>
    <w:sectPr w:rsidR="00FC693F" w:rsidRPr="0006063C" w:rsidSect="00034616">
      <w:pgSz w:w="16838" w:h="11906" w:orient="landscape"/>
      <w:pgMar w:top="1191" w:right="567" w:bottom="1134" w:left="1701" w:header="737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