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68"/>
        <w:ind w:left="5832"/>
      </w:pPr>
      <w:r>
        <w:rPr>
          <w:rFonts w:ascii="Times New Roman" w:hAnsi="Times New Roman" w:cs="Times New Roman" w:eastAsia="Times New Roman"/>
          <w:sz w:val="12"/>
        </w:rPr>
        <w:t>Форма является приложением 9.5                                                                                                                                                                         к Перечню первичных учётных документов, используемых в ОАО «Мозырский НПЗ»</w:t>
      </w:r>
    </w:p>
    <w:p>
      <w:pPr>
        <w:widowControl w:val="0"/>
        <w:spacing w:before="0" w:after="0" w:lineRule="atLeast" w:line="154"/>
        <w:ind w:left="5832"/>
      </w:pPr>
      <w:r>
        <w:rPr>
          <w:rFonts w:ascii="Times New Roman" w:hAnsi="Times New Roman" w:cs="Times New Roman" w:eastAsia="Times New Roman"/>
          <w:sz w:val="12"/>
        </w:rPr>
        <w:t>к Графику документооборота в ОАО «Мозырский НПЗ»</w:t>
      </w:r>
    </w:p>
    <w:p>
      <w:pPr>
        <w:widowControl w:val="0"/>
        <w:spacing w:before="0" w:after="0" w:lineRule="exact" w:line="62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7584" w:val="left"/>
        </w:tabs>
        <w:spacing w:before="0" w:after="0" w:lineRule="atLeast" w:line="168"/>
        <w:ind w:left="0"/>
      </w:pPr>
      <w:r>
        <w:rPr>
          <w:rFonts w:ascii="Times New Roman" w:hAnsi="Times New Roman" w:cs="Times New Roman" w:eastAsia="Times New Roman"/>
          <w:sz w:val="12"/>
        </w:rPr>
        <w:t>Открытое акционерное общество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>УТВЕРЖДАЮ</w:t>
      </w:r>
    </w:p>
    <w:p>
      <w:pPr>
        <w:widowControl w:val="0"/>
        <w:tabs>
          <w:tab w:pos="7584" w:val="left"/>
          <w:tab w:pos="11389" w:val="left" w:leader="underscore"/>
        </w:tabs>
        <w:spacing w:before="0" w:after="0" w:lineRule="atLeast" w:line="168"/>
        <w:ind w:left="0"/>
      </w:pPr>
      <w:r>
        <w:rPr>
          <w:rFonts w:ascii="Times New Roman" w:hAnsi="Times New Roman" w:cs="Times New Roman" w:eastAsia="Times New Roman"/>
          <w:sz w:val="12"/>
        </w:rPr>
        <w:t>"Мозырский нефтеперерабатывающий завод"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spacing w:before="0" w:after="0" w:lineRule="atLeast" w:line="94"/>
        <w:ind w:left="7584" w:right="3181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служащего)</w:t>
      </w:r>
    </w:p>
    <w:p>
      <w:pPr>
        <w:widowControl w:val="0"/>
        <w:tabs>
          <w:tab w:pos="7584" w:val="left"/>
          <w:tab w:pos="11389" w:val="left" w:leader="underscore"/>
        </w:tabs>
        <w:spacing w:before="0" w:after="0" w:lineRule="atLeast" w:line="161"/>
        <w:ind w:left="0"/>
      </w:pPr>
      <w:r>
        <w:rPr>
          <w:rFonts w:ascii="Times New Roman" w:hAnsi="Times New Roman" w:cs="Times New Roman" w:eastAsia="Times New Roman"/>
          <w:sz w:val="12"/>
        </w:rPr>
        <w:t>ПРОТОКОЛ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spacing w:before="0" w:after="0" w:lineRule="atLeast" w:line="128"/>
        <w:ind w:left="7584" w:right="3181"/>
        <w:jc w:val="center"/>
      </w:pPr>
      <w:r>
        <w:rPr>
          <w:rFonts w:ascii="Times New Roman" w:hAnsi="Times New Roman" w:cs="Times New Roman" w:eastAsia="Times New Roman"/>
          <w:sz w:val="10"/>
        </w:rPr>
        <w:t>(подпись, инициалы, фамилия)</w:t>
      </w:r>
    </w:p>
    <w:p>
      <w:pPr>
        <w:widowControl w:val="0"/>
        <w:tabs>
          <w:tab w:pos="7584" w:val="left"/>
        </w:tabs>
        <w:spacing w:before="0" w:after="51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________ 20_____ г.  № ______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>_________ 20 ____ г.</w:t>
      </w:r>
    </w:p>
    <w:p>
      <w:pPr>
        <w:widowControl w:val="0"/>
        <w:spacing w:before="0" w:after="0" w:lineRule="exact" w:line="62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44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Мозырский район</w:t>
      </w:r>
    </w:p>
    <w:p>
      <w:pPr>
        <w:widowControl w:val="0"/>
        <w:spacing w:before="0" w:after="0" w:lineRule="exact" w:line="62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75"/>
        <w:ind w:left="0"/>
      </w:pPr>
      <w:r>
        <w:rPr>
          <w:rFonts w:ascii="Times New Roman" w:hAnsi="Times New Roman" w:cs="Times New Roman" w:eastAsia="Times New Roman"/>
          <w:sz w:val="12"/>
        </w:rPr>
        <w:t>заседания ____________________ инвентаризационной комиссии</w:t>
      </w:r>
    </w:p>
    <w:p>
      <w:pPr>
        <w:widowControl w:val="0"/>
        <w:spacing w:before="0" w:after="0" w:lineRule="atLeast" w:line="134"/>
        <w:ind w:left="347"/>
      </w:pPr>
      <w:r>
        <w:rPr>
          <w:rFonts w:ascii="Times New Roman" w:hAnsi="Times New Roman" w:cs="Times New Roman" w:eastAsia="Times New Roman"/>
          <w:sz w:val="10"/>
        </w:rPr>
        <w:t>(указать - центральной или рабочей)</w:t>
      </w:r>
    </w:p>
    <w:p>
      <w:pPr>
        <w:widowControl w:val="0"/>
        <w:spacing w:before="0" w:after="0" w:lineRule="exact" w:line="62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51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___________________________________ инвентаризационная комиссия, созданная в соответствии с ____________________________________________________________________________________________</w:t>
      </w:r>
    </w:p>
    <w:p>
      <w:pPr>
        <w:widowControl w:val="0"/>
        <w:tabs>
          <w:tab w:pos="1148" w:val="center"/>
          <w:tab w:pos="4477" w:val="left"/>
        </w:tabs>
        <w:spacing w:before="0" w:after="0" w:lineRule="atLeast" w:line="9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(указать - центральная или рабочая)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(вид, дата, номер, название документа, в соответствии с которым создана соответствующая инвентаризационная комиссия)</w:t>
      </w:r>
    </w:p>
    <w:p>
      <w:pPr>
        <w:widowControl w:val="0"/>
        <w:spacing w:before="0" w:after="37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в присутствии ______________________________________________________________________________________________________________________________________________________________________</w:t>
      </w:r>
    </w:p>
    <w:p>
      <w:pPr>
        <w:widowControl w:val="0"/>
        <w:spacing w:before="0" w:after="0" w:lineRule="atLeast" w:line="94"/>
        <w:ind w:left="0" w:right="3181"/>
        <w:jc w:val="center"/>
      </w:pPr>
      <w:r>
        <w:rPr>
          <w:rFonts w:ascii="Times New Roman" w:hAnsi="Times New Roman" w:cs="Times New Roman" w:eastAsia="Times New Roman"/>
          <w:sz w:val="10"/>
        </w:rPr>
        <w:t>(указать должность служащего (профессию рабочего), инициалы, фамилию каждого из присутствующих на заседании, помимо инвентаризационной комиссии)</w:t>
      </w:r>
    </w:p>
    <w:p>
      <w:pPr>
        <w:widowControl w:val="0"/>
        <w:spacing w:before="0" w:after="51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рассмотрела результаты проведения инвентаризации (-ий), проведённой (-ых) на основании: __________________________________________________________________________________________________</w:t>
      </w:r>
    </w:p>
    <w:p>
      <w:pPr>
        <w:widowControl w:val="0"/>
        <w:spacing w:before="0" w:after="0" w:lineRule="atLeast" w:line="114"/>
        <w:ind w:left="3245"/>
      </w:pPr>
      <w:r>
        <w:rPr>
          <w:rFonts w:ascii="Times New Roman" w:hAnsi="Times New Roman" w:cs="Times New Roman" w:eastAsia="Times New Roman"/>
          <w:sz w:val="10"/>
        </w:rPr>
        <w:t>(наименование, дата и номер локального (-ых) правового (-ых) акта (-ов), на основании которого (-ых) проведена (-ы) инвентаризация (-ии))</w:t>
      </w:r>
    </w:p>
    <w:p>
      <w:pPr>
        <w:widowControl w:val="0"/>
        <w:spacing w:before="0" w:after="0" w:lineRule="atLeast" w:line="168"/>
        <w:ind w:left="0"/>
      </w:pPr>
      <w:r>
        <w:rPr>
          <w:rFonts w:ascii="Times New Roman" w:hAnsi="Times New Roman" w:cs="Times New Roman" w:eastAsia="Times New Roman"/>
          <w:sz w:val="12"/>
        </w:rPr>
        <w:t>1. Результаты инвентаризации:</w:t>
      </w:r>
    </w:p>
    <w:p>
      <w:pPr>
        <w:widowControl w:val="0"/>
        <w:spacing w:before="0" w:after="37" w:lineRule="exact" w:line="144"/>
        <w:ind w:left="0" w:right="3181"/>
        <w:jc w:val="right"/>
      </w:pPr>
      <w:r>
        <w:rPr>
          <w:rFonts w:ascii="Times New Roman" w:hAnsi="Times New Roman" w:cs="Times New Roman" w:eastAsia="Times New Roman"/>
          <w:sz w:val="12"/>
        </w:rPr>
        <w:t>бел. руб.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396"/>
        <w:gridCol w:w="1899"/>
        <w:gridCol w:w="738"/>
        <w:gridCol w:w="671"/>
        <w:gridCol w:w="839"/>
        <w:gridCol w:w="537"/>
        <w:gridCol w:w="752"/>
        <w:gridCol w:w="879"/>
        <w:gridCol w:w="873"/>
        <w:gridCol w:w="698"/>
        <w:gridCol w:w="725"/>
        <w:gridCol w:w="698"/>
        <w:gridCol w:w="651"/>
        <w:gridCol w:w="604"/>
        <w:gridCol w:w="429"/>
      </w:tblGrid>
      <w:tr>
        <w:trPr>
          <w:trHeight w:val="262" w:hRule="atLeast"/>
          <w:cantSplit/>
        </w:trPr>
        <w:tc>
          <w:tcPr>
            <w:tcW w:type="dxa" w:w="2295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Структурное подразделение,                                         материально ответственное лицо</w:t>
            </w:r>
          </w:p>
        </w:tc>
        <w:tc>
          <w:tcPr>
            <w:tcW w:type="dxa" w:w="140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Результат инвентаризации</w:t>
            </w:r>
          </w:p>
        </w:tc>
        <w:tc>
          <w:tcPr>
            <w:tcW w:type="dxa" w:w="13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Отрегулировать за счёт записей     в учёте</w:t>
            </w:r>
          </w:p>
        </w:tc>
        <w:tc>
          <w:tcPr>
            <w:tcW w:type="dxa" w:w="163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Зачесть по пересортице</w:t>
            </w:r>
          </w:p>
        </w:tc>
        <w:tc>
          <w:tcPr>
            <w:tcW w:type="dxa" w:w="87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Списать в пределах норм естественной убыли</w:t>
            </w:r>
          </w:p>
        </w:tc>
        <w:tc>
          <w:tcPr>
            <w:tcW w:type="dxa" w:w="69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Оприходовать окончательные излишки</w:t>
            </w:r>
          </w:p>
        </w:tc>
        <w:tc>
          <w:tcPr>
            <w:tcW w:type="dxa" w:w="3107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причинённого ущерба</w:t>
            </w:r>
          </w:p>
        </w:tc>
      </w:tr>
      <w:tr>
        <w:trPr>
          <w:trHeight w:val="597" w:hRule="atLeast"/>
          <w:cantSplit/>
        </w:trPr>
        <w:tc>
          <w:tcPr>
            <w:tcW w:type="dxa" w:w="2295"/>
            <w:gridSpan w:val="2"/>
            <w:vMerge/>
          </w:tcPr>
          <w:p/>
        </w:tc>
        <w:tc>
          <w:tcPr>
            <w:tcW w:type="dxa" w:w="7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</w:t>
            </w:r>
          </w:p>
        </w:tc>
        <w:tc>
          <w:tcPr>
            <w:tcW w:type="dxa" w:w="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недостача*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</w:t>
            </w:r>
          </w:p>
        </w:tc>
        <w:tc>
          <w:tcPr>
            <w:tcW w:type="dxa" w:w="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</w:t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зачёта</w:t>
            </w:r>
          </w:p>
        </w:tc>
        <w:tc>
          <w:tcPr>
            <w:tcW w:type="dxa" w:w="8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превышения зачтённых излишков над суммой покрытых недостач**</w:t>
            </w:r>
          </w:p>
        </w:tc>
        <w:tc>
          <w:tcPr>
            <w:tcW w:type="dxa" w:w="873"/>
            <w:vMerge/>
          </w:tcPr>
          <w:p/>
        </w:tc>
        <w:tc>
          <w:tcPr>
            <w:tcW w:type="dxa" w:w="698"/>
            <w:vMerge/>
          </w:tcPr>
          <w:p/>
        </w:tc>
        <w:tc>
          <w:tcPr>
            <w:tcW w:type="dxa" w:w="7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сумма оконча-тельной недостачи</w:t>
            </w:r>
          </w:p>
        </w:tc>
        <w:tc>
          <w:tcPr>
            <w:tcW w:type="dxa" w:w="6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налог на добав-ленную стоимость</w:t>
            </w:r>
          </w:p>
        </w:tc>
        <w:tc>
          <w:tcPr>
            <w:tcW w:type="dxa" w:w="6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транспортно-загото-вительные затраты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всего</w:t>
            </w:r>
          </w:p>
        </w:tc>
      </w:tr>
      <w:tr>
        <w:trPr>
          <w:trHeight w:val="141" w:hRule="atLeast"/>
          <w:cantSplit/>
        </w:trPr>
        <w:tc>
          <w:tcPr>
            <w:tcW w:type="dxa" w:w="229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7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8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6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7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  <w:tc>
          <w:tcPr>
            <w:tcW w:type="dxa" w:w="6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11</w:t>
            </w:r>
          </w:p>
        </w:tc>
        <w:tc>
          <w:tcPr>
            <w:tcW w:type="dxa" w:w="6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12</w:t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13</w:t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14</w:t>
            </w:r>
          </w:p>
        </w:tc>
      </w:tr>
      <w:tr>
        <w:trPr>
          <w:trHeight w:val="134" w:hRule="atLeast"/>
          <w:cantSplit/>
        </w:trPr>
        <w:tc>
          <w:tcPr>
            <w:tcW w:type="dxa" w:w="229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7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6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  <w:tc>
          <w:tcPr>
            <w:tcW w:type="dxa" w:w="42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10"/>
              </w:rPr>
            </w:r>
          </w:p>
        </w:tc>
      </w:tr>
    </w:tbl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84" w:lineRule="exact" w:line="144"/>
        <w:ind w:left="0" w:right="3181"/>
      </w:pPr>
      <w:r>
        <w:rPr>
          <w:rFonts w:ascii="Times New Roman" w:hAnsi="Times New Roman" w:cs="Times New Roman" w:eastAsia="Times New Roman"/>
          <w:sz w:val="12"/>
        </w:rPr>
        <w:t>2. Согласно объяснениям материально ответственных лиц причинами выявленных расхождений явились: ________________________________________________________________________________________</w:t>
      </w:r>
    </w:p>
    <w:p>
      <w:pPr>
        <w:widowControl w:val="0"/>
        <w:tabs>
          <w:tab w:pos="9704" w:val="left" w:leader="underscore"/>
          <w:tab w:pos="10355" w:val="left" w:leader="underscore"/>
          <w:tab w:pos="10959" w:val="left" w:leader="underscore"/>
          <w:tab w:pos="11389" w:val="left" w:leader="underscore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spacing w:before="0" w:after="51" w:lineRule="exact" w:line="144"/>
        <w:ind w:left="0"/>
      </w:pPr>
      <w:r>
        <w:rPr>
          <w:rFonts w:ascii="Times New Roman" w:hAnsi="Times New Roman" w:cs="Times New Roman" w:eastAsia="Times New Roman"/>
          <w:sz w:val="12"/>
        </w:rPr>
        <w:t>РЕШИЛИ:</w:t>
      </w:r>
    </w:p>
    <w:p>
      <w:pPr>
        <w:widowControl w:val="0"/>
        <w:tabs>
          <w:tab w:pos="0" w:val="left"/>
          <w:tab w:pos="11389" w:val="left" w:leader="underscore"/>
        </w:tabs>
        <w:spacing w:before="0" w:after="0" w:lineRule="atLeast" w:line="134"/>
        <w:ind w:left="0" w:right="0"/>
      </w:pPr>
      <w:r>
        <w:rPr>
          <w:rFonts w:ascii="Times New Roman" w:hAnsi="Times New Roman" w:cs="Times New Roman" w:eastAsia="Times New Roman"/>
          <w:sz w:val="12"/>
        </w:rPr>
      </w:r>
      <w:r>
        <w:rPr>
          <w:rFonts w:ascii="Times New Roman" w:hAnsi="Times New Roman" w:cs="Times New Roman" w:eastAsia="Times New Roman"/>
          <w:sz w:val="12"/>
        </w:rPr>
        <w:tab/>
        <w:tab/>
      </w:r>
    </w:p>
    <w:p>
      <w:pPr>
        <w:widowControl w:val="0"/>
        <w:spacing w:before="0" w:after="0" w:lineRule="atLeast" w:line="101"/>
        <w:ind w:left="0" w:right="3181"/>
        <w:jc w:val="center"/>
      </w:pPr>
      <w:r>
        <w:rPr>
          <w:rFonts w:ascii="Times New Roman" w:hAnsi="Times New Roman" w:cs="Times New Roman" w:eastAsia="Times New Roman"/>
          <w:sz w:val="10"/>
        </w:rPr>
        <w:t>(изложить предложения комиссии по результатам инвентаризации)</w:t>
      </w:r>
    </w:p>
    <w:p>
      <w:pPr>
        <w:widowControl w:val="0"/>
        <w:spacing w:before="0" w:after="0" w:lineRule="atLeast" w:line="175"/>
        <w:ind w:left="0"/>
      </w:pPr>
      <w:r>
        <w:rPr>
          <w:rFonts w:ascii="Times New Roman" w:hAnsi="Times New Roman" w:cs="Times New Roman" w:eastAsia="Times New Roman"/>
          <w:sz w:val="12"/>
        </w:rPr>
        <w:t>Основание: _________________________________________________________________________________________________________________________________________________________________________</w:t>
      </w:r>
    </w:p>
    <w:p>
      <w:pPr>
        <w:widowControl w:val="0"/>
        <w:spacing w:before="0" w:after="0" w:lineRule="atLeast" w:line="134"/>
        <w:ind w:left="0" w:right="3181"/>
        <w:jc w:val="center"/>
      </w:pPr>
      <w:r>
        <w:rPr>
          <w:rFonts w:ascii="Times New Roman" w:hAnsi="Times New Roman" w:cs="Times New Roman" w:eastAsia="Times New Roman"/>
          <w:sz w:val="10"/>
        </w:rPr>
        <w:t>(вид, дата, номер, название документа)</w:t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2295" w:val="left"/>
          <w:tab w:pos="6711" w:val="left" w:leader="underscore"/>
          <w:tab w:pos="7584" w:val="left"/>
          <w:tab w:pos="9006" w:val="left" w:leader="underscore"/>
        </w:tabs>
        <w:spacing w:before="0" w:after="0" w:lineRule="atLeast" w:line="134"/>
        <w:ind w:left="0"/>
      </w:pPr>
      <w:r>
        <w:rPr>
          <w:rFonts w:ascii="Times New Roman" w:hAnsi="Times New Roman" w:cs="Times New Roman" w:eastAsia="Times New Roman"/>
          <w:sz w:val="12"/>
        </w:rPr>
        <w:t>Председатель комиссии: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tabs>
          <w:tab w:pos="4503" w:val="center"/>
          <w:tab w:pos="7147" w:val="center"/>
          <w:tab w:pos="8295" w:val="center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2295" w:val="left"/>
          <w:tab w:pos="6711" w:val="left" w:leader="underscore"/>
          <w:tab w:pos="7584" w:val="left"/>
          <w:tab w:pos="9006" w:val="left" w:leader="underscore"/>
        </w:tabs>
        <w:spacing w:before="0" w:after="0" w:lineRule="atLeast" w:line="134"/>
        <w:ind w:left="0"/>
      </w:pPr>
      <w:r>
        <w:rPr>
          <w:rFonts w:ascii="Times New Roman" w:hAnsi="Times New Roman" w:cs="Times New Roman" w:eastAsia="Times New Roman"/>
          <w:sz w:val="12"/>
        </w:rPr>
        <w:t>Члены комиссии: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tabs>
          <w:tab w:pos="4503" w:val="center"/>
          <w:tab w:pos="7147" w:val="center"/>
          <w:tab w:pos="8295" w:val="center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2295" w:val="left"/>
          <w:tab w:pos="6711" w:val="left" w:leader="underscore"/>
          <w:tab w:pos="7584" w:val="left"/>
          <w:tab w:pos="9006" w:val="left" w:leader="underscore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tabs>
          <w:tab w:pos="4503" w:val="center"/>
          <w:tab w:pos="7147" w:val="center"/>
          <w:tab w:pos="8295" w:val="center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2295" w:val="left"/>
          <w:tab w:pos="6711" w:val="left" w:leader="underscore"/>
          <w:tab w:pos="7584" w:val="left"/>
          <w:tab w:pos="9006" w:val="left" w:leader="underscore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ab/>
      </w:r>
    </w:p>
    <w:p>
      <w:pPr>
        <w:widowControl w:val="0"/>
        <w:tabs>
          <w:tab w:pos="4503" w:val="center"/>
          <w:tab w:pos="7147" w:val="center"/>
          <w:tab w:pos="8295" w:val="center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spacing w:before="0" w:after="0" w:lineRule="exact" w:line="134"/>
        <w:rPr>
          <w:sz w:val="9"/>
        </w:rPr>
      </w:pPr>
      <w:r>
        <w:rPr>
          <w:rFonts w:ascii="Times New Roman" w:hAnsi="Times New Roman" w:cs="Times New Roman" w:eastAsia="Times New Roman"/>
          <w:sz w:val="9"/>
        </w:rPr>
      </w:r>
    </w:p>
    <w:p>
      <w:pPr>
        <w:widowControl w:val="0"/>
        <w:tabs>
          <w:tab w:pos="2295" w:val="left"/>
          <w:tab w:pos="6711" w:val="left" w:leader="underscore"/>
          <w:tab w:pos="7584" w:val="left"/>
          <w:tab w:pos="9006" w:val="left" w:leader="underscore"/>
        </w:tabs>
        <w:spacing w:before="0" w:after="0" w:lineRule="atLeast" w:line="168"/>
        <w:ind w:left="0"/>
      </w:pPr>
      <w:r>
        <w:rPr>
          <w:rFonts w:ascii="Times New Roman" w:hAnsi="Times New Roman" w:cs="Times New Roman" w:eastAsia="Times New Roman"/>
          <w:sz w:val="12"/>
        </w:rPr>
        <w:t>С протоколом ознакомлены: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4503" w:val="center"/>
          <w:tab w:pos="7147" w:val="center"/>
          <w:tab w:pos="8295" w:val="center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(инициалы, фамилия)</w:t>
      </w:r>
    </w:p>
    <w:p>
      <w:pPr>
        <w:widowControl w:val="0"/>
        <w:tabs>
          <w:tab w:pos="396" w:val="left" w:leader="underscore"/>
          <w:tab w:pos="2295" w:val="left" w:leader="underscore"/>
          <w:tab w:pos="3033" w:val="left" w:leader="underscore"/>
        </w:tabs>
        <w:spacing w:before="0" w:after="0" w:lineRule="atLeast" w:line="13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14"/>
        <w:ind w:left="0"/>
      </w:pPr>
      <w:r>
        <w:rPr>
          <w:rFonts w:ascii="Times New Roman" w:hAnsi="Times New Roman" w:cs="Times New Roman" w:eastAsia="Times New Roman"/>
          <w:sz w:val="10"/>
        </w:rPr>
        <w:t>** Сумма недостачи по объектам основных средств, отдельных предметов в составе средств в обороте определяется как разница между денежной оценкой объекта , числящегося в бухгалтерском учёте (уменьшенная на сумму начисленной амортизации (износа), и денежной оценкой его фактического наличия</w:t>
      </w:r>
    </w:p>
    <w:p>
      <w:pPr>
        <w:widowControl w:val="0"/>
        <w:spacing w:before="0" w:after="0" w:lineRule="atLeast" w:line="128"/>
        <w:ind w:left="0"/>
      </w:pPr>
      <w:r>
        <w:rPr>
          <w:rFonts w:ascii="Times New Roman" w:hAnsi="Times New Roman" w:cs="Times New Roman" w:eastAsia="Times New Roman"/>
          <w:sz w:val="10"/>
        </w:rPr>
        <w:t>** Со знаком "+" показывается превышение суммы излишков над покрываемой суммой недостач, со знаком "-" - превышение суммы недостач над зачитываемой суммой излишков.</w:t>
      </w:r>
    </w:p>
    <w:p>
      <w:pPr>
        <w:widowControl w:val="0"/>
        <w:spacing w:before="0" w:after="229" w:lineRule="exact" w:line="120"/>
        <w:ind w:left="0" w:right="0"/>
      </w:pPr>
      <w:r>
        <w:rPr>
          <w:rFonts w:ascii="Times New Roman" w:hAnsi="Times New Roman" w:cs="Times New Roman" w:eastAsia="Times New Roman"/>
          <w:sz w:val="10"/>
        </w:rPr>
        <w:t>*** Указать: сумму приходуемых окончательных излишков, сумму зачёта по пересортице и списания в пределах норм естественной убыли, если они отличаются от указанных в пункте 1 настоящего протокола; если не отличаются, указать - "оприходовать окончательные излишки и отразить в учёте сумму окончательной недостачи, указанные в пункте 1 настоящего протокола"; по возмещению причинённого ущерба, указать источник его возмещения - отнести на убытки Общества, взыскать с материально ответственных лиц (указать должность служащего (профессию рабочего) инициалы и фамилии каждого материально ответственного лица, которому надлежит возместить причинённый ущерб, и сумму, подлежащую возмещению; передать в следственные органы); указать предлагаемые меры по предотвращению образования излишков и недостач</w:t>
      </w:r>
    </w:p>
    <w:sectPr w:rsidR="00FC693F" w:rsidRPr="0006063C" w:rsidSect="00034616">
      <w:pgSz w:w="16838" w:h="11906" w:orient="landscape"/>
      <w:pgMar w:top="1191" w:right="567" w:bottom="1134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