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183"/>
        <w:ind w:left="5066"/>
      </w:pPr>
      <w:r>
        <w:rPr>
          <w:rFonts w:ascii="Times New Roman" w:hAnsi="Times New Roman" w:cs="Times New Roman" w:eastAsia="Times New Roman"/>
          <w:sz w:val="13"/>
        </w:rPr>
        <w:t>Форма является приложением 5.24</w:t>
      </w:r>
    </w:p>
    <w:p>
      <w:pPr>
        <w:widowControl w:val="0"/>
        <w:spacing w:before="0" w:after="0" w:lineRule="atLeast" w:line="183"/>
        <w:ind w:left="5066"/>
      </w:pPr>
      <w:r>
        <w:rPr>
          <w:rFonts w:ascii="Times New Roman" w:hAnsi="Times New Roman" w:cs="Times New Roman" w:eastAsia="Times New Roman"/>
          <w:sz w:val="13"/>
        </w:rPr>
        <w:t>к Перечню первичных учётных документов,</w:t>
      </w:r>
    </w:p>
    <w:p>
      <w:pPr>
        <w:widowControl w:val="0"/>
        <w:spacing w:before="0" w:after="0" w:lineRule="atLeast" w:line="183"/>
        <w:ind w:left="5066"/>
      </w:pPr>
      <w:r>
        <w:rPr>
          <w:rFonts w:ascii="Times New Roman" w:hAnsi="Times New Roman" w:cs="Times New Roman" w:eastAsia="Times New Roman"/>
          <w:sz w:val="13"/>
        </w:rPr>
        <w:t>используемых в ОАО "Мозырский НПЗ"</w:t>
      </w:r>
    </w:p>
    <w:p>
      <w:pPr>
        <w:widowControl w:val="0"/>
        <w:spacing w:before="0" w:after="0" w:lineRule="atLeast" w:line="183"/>
        <w:ind w:left="0"/>
      </w:pPr>
      <w:r>
        <w:rPr>
          <w:rFonts w:ascii="Times New Roman" w:hAnsi="Times New Roman" w:cs="Times New Roman" w:eastAsia="Times New Roman"/>
          <w:sz w:val="13"/>
        </w:rPr>
        <w:t>Открытое акционерное общество</w:t>
      </w:r>
    </w:p>
    <w:p>
      <w:pPr>
        <w:widowControl w:val="0"/>
        <w:spacing w:before="0" w:after="0" w:lineRule="atLeast" w:line="190"/>
        <w:ind w:left="0"/>
      </w:pPr>
      <w:r>
        <w:rPr>
          <w:rFonts w:ascii="Times New Roman" w:hAnsi="Times New Roman" w:cs="Times New Roman" w:eastAsia="Times New Roman"/>
          <w:sz w:val="13"/>
        </w:rPr>
        <w:t>"Мозырский</w:t>
      </w:r>
    </w:p>
    <w:p>
      <w:pPr>
        <w:widowControl w:val="0"/>
        <w:spacing w:before="0" w:after="56" w:lineRule="exact" w:line="156"/>
        <w:ind w:left="0"/>
      </w:pPr>
      <w:r>
        <w:rPr>
          <w:rFonts w:ascii="Times New Roman" w:hAnsi="Times New Roman" w:cs="Times New Roman" w:eastAsia="Times New Roman"/>
          <w:sz w:val="13"/>
        </w:rPr>
        <w:t>нефтеперерабатывающий завод"</w:t>
      </w:r>
    </w:p>
    <w:p>
      <w:pPr>
        <w:widowControl w:val="0"/>
        <w:tabs>
          <w:tab w:pos="502" w:val="left" w:leader="underscore"/>
          <w:tab w:pos="1004" w:val="left" w:leader="underscore"/>
          <w:tab w:pos="1777" w:val="left" w:leader="underscore"/>
          <w:tab w:pos="2093" w:val="left" w:leader="underscore"/>
          <w:tab w:pos="2689" w:val="left" w:leader="underscore"/>
        </w:tabs>
        <w:spacing w:before="0" w:after="0" w:lineRule="atLeast" w:line="183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spacing w:before="0" w:after="0" w:lineRule="atLeast" w:line="146"/>
        <w:ind w:left="373"/>
      </w:pPr>
      <w:r>
        <w:rPr>
          <w:rFonts w:ascii="Times New Roman" w:hAnsi="Times New Roman" w:cs="Times New Roman" w:eastAsia="Times New Roman"/>
          <w:sz w:val="10"/>
        </w:rPr>
        <w:t>(наименование структурного подразделения)</w:t>
      </w:r>
    </w:p>
    <w:p>
      <w:pPr>
        <w:widowControl w:val="0"/>
        <w:spacing w:before="0" w:after="0" w:lineRule="exact" w:line="102"/>
        <w:rPr>
          <w:sz w:val="6"/>
        </w:rPr>
      </w:pPr>
      <w:r>
        <w:rPr>
          <w:rFonts w:ascii="Times New Roman" w:hAnsi="Times New Roman" w:cs="Times New Roman" w:eastAsia="Times New Roman"/>
          <w:sz w:val="6"/>
        </w:rPr>
      </w:r>
    </w:p>
    <w:p>
      <w:pPr>
        <w:widowControl w:val="0"/>
        <w:spacing w:before="0" w:after="0" w:lineRule="atLeast" w:line="176"/>
        <w:ind w:left="0"/>
      </w:pPr>
      <w:r>
        <w:rPr>
          <w:rFonts w:ascii="Times New Roman" w:hAnsi="Times New Roman" w:cs="Times New Roman" w:eastAsia="Times New Roman"/>
          <w:sz w:val="13"/>
        </w:rPr>
        <w:t>ОТЧЁТ</w:t>
      </w:r>
    </w:p>
    <w:p>
      <w:pPr>
        <w:widowControl w:val="0"/>
        <w:tabs>
          <w:tab w:pos="1004" w:val="left" w:leader="underscore"/>
        </w:tabs>
        <w:spacing w:before="0" w:after="0" w:lineRule="atLeast" w:line="176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Calibri" w:hAnsi="Calibri" w:cs="Calibri" w:eastAsia="Calibri"/>
          <w:sz w:val="10"/>
          <w:u w:val="single"/>
        </w:rPr>
        <w:t>20</w:t>
      </w:r>
    </w:p>
    <w:p>
      <w:pPr>
        <w:widowControl w:val="0"/>
        <w:spacing w:before="0" w:after="0" w:lineRule="atLeast" w:line="183"/>
        <w:ind w:left="0"/>
      </w:pPr>
      <w:r>
        <w:rPr>
          <w:rFonts w:ascii="Times New Roman" w:hAnsi="Times New Roman" w:cs="Times New Roman" w:eastAsia="Times New Roman"/>
          <w:sz w:val="13"/>
        </w:rPr>
        <w:t>о расходе реагентов и катализаторов</w:t>
      </w:r>
    </w:p>
    <w:p>
      <w:pPr>
        <w:widowControl w:val="0"/>
        <w:spacing w:before="0" w:after="0" w:lineRule="atLeast" w:line="183"/>
        <w:ind w:left="0"/>
      </w:pPr>
      <w:r>
        <w:rPr>
          <w:rFonts w:ascii="Times New Roman" w:hAnsi="Times New Roman" w:cs="Times New Roman" w:eastAsia="Times New Roman"/>
          <w:sz w:val="13"/>
        </w:rPr>
        <w:t>за ________________20____</w:t>
      </w:r>
    </w:p>
    <w:p>
      <w:pPr>
        <w:widowControl w:val="0"/>
        <w:spacing w:before="0" w:after="0" w:lineRule="atLeast" w:line="146"/>
        <w:ind w:left="481"/>
      </w:pPr>
      <w:r>
        <w:rPr>
          <w:rFonts w:ascii="Times New Roman" w:hAnsi="Times New Roman" w:cs="Times New Roman" w:eastAsia="Times New Roman"/>
          <w:sz w:val="10"/>
        </w:rPr>
        <w:t>(месяц)</w:t>
      </w:r>
    </w:p>
    <w:p>
      <w:pPr>
        <w:widowControl w:val="0"/>
        <w:tabs>
          <w:tab w:pos="10551" w:val="left"/>
        </w:tabs>
        <w:spacing w:before="0" w:after="0" w:lineRule="atLeast" w:line="183"/>
        <w:ind w:left="0"/>
      </w:pPr>
      <w:r>
        <w:rPr>
          <w:rFonts w:ascii="Times New Roman" w:hAnsi="Times New Roman" w:cs="Times New Roman" w:eastAsia="Times New Roman"/>
          <w:sz w:val="13"/>
        </w:rPr>
        <w:t>Мозырский район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>Код мероприятия 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502"/>
        <w:gridCol w:w="502"/>
        <w:gridCol w:w="773"/>
        <w:gridCol w:w="316"/>
        <w:gridCol w:w="596"/>
        <w:gridCol w:w="567"/>
        <w:gridCol w:w="502"/>
        <w:gridCol w:w="596"/>
        <w:gridCol w:w="819"/>
        <w:gridCol w:w="596"/>
        <w:gridCol w:w="447"/>
        <w:gridCol w:w="270"/>
        <w:gridCol w:w="596"/>
        <w:gridCol w:w="596"/>
        <w:gridCol w:w="372"/>
        <w:gridCol w:w="596"/>
        <w:gridCol w:w="8"/>
        <w:gridCol w:w="754"/>
        <w:gridCol w:w="521"/>
        <w:gridCol w:w="232"/>
        <w:gridCol w:w="391"/>
        <w:gridCol w:w="288"/>
        <w:gridCol w:w="521"/>
        <w:gridCol w:w="521"/>
        <w:gridCol w:w="567"/>
        <w:gridCol w:w="792"/>
        <w:gridCol w:w="670"/>
        <w:gridCol w:w="660"/>
      </w:tblGrid>
      <w:tr>
        <w:trPr>
          <w:trHeight w:val="293" w:hRule="atLeast"/>
          <w:cantSplit/>
        </w:trPr>
        <w:tc>
          <w:tcPr>
            <w:tcW w:type="dxa" w:w="50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Номер материала в SAP ERP</w:t>
            </w:r>
          </w:p>
        </w:tc>
        <w:tc>
          <w:tcPr>
            <w:tcW w:type="dxa" w:w="50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Номер карточки</w:t>
            </w:r>
          </w:p>
        </w:tc>
        <w:tc>
          <w:tcPr>
            <w:tcW w:type="dxa" w:w="77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Наименование реагентов и катализаторов</w:t>
            </w:r>
          </w:p>
        </w:tc>
        <w:tc>
          <w:tcPr>
            <w:tcW w:type="dxa" w:w="31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extDirection w:val="btL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Ед. изм.</w:t>
            </w:r>
          </w:p>
        </w:tc>
        <w:tc>
          <w:tcPr>
            <w:tcW w:type="dxa" w:w="59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Режим работы установки</w:t>
            </w:r>
          </w:p>
        </w:tc>
        <w:tc>
          <w:tcPr>
            <w:tcW w:type="dxa" w:w="56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Кол-во сырья /  продукта, т</w:t>
            </w:r>
          </w:p>
        </w:tc>
        <w:tc>
          <w:tcPr>
            <w:tcW w:type="dxa" w:w="50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Норма расхода, кг/т</w:t>
            </w:r>
          </w:p>
        </w:tc>
        <w:tc>
          <w:tcPr>
            <w:tcW w:type="dxa" w:w="141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Остаток на начало месяца</w:t>
            </w:r>
          </w:p>
        </w:tc>
        <w:tc>
          <w:tcPr>
            <w:tcW w:type="dxa" w:w="1313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Поступило</w:t>
            </w:r>
          </w:p>
        </w:tc>
        <w:tc>
          <w:tcPr>
            <w:tcW w:type="dxa" w:w="1192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Акт</w:t>
            </w:r>
          </w:p>
        </w:tc>
        <w:tc>
          <w:tcPr>
            <w:tcW w:type="dxa" w:w="173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Израсходовано</w:t>
            </w:r>
          </w:p>
        </w:tc>
        <w:tc>
          <w:tcPr>
            <w:tcW w:type="dxa" w:w="753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Экономия     "-" / Перерасход "+"</w:t>
            </w:r>
          </w:p>
        </w:tc>
        <w:tc>
          <w:tcPr>
            <w:tcW w:type="dxa" w:w="67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Возвращено, передано</w:t>
            </w:r>
          </w:p>
        </w:tc>
        <w:tc>
          <w:tcPr>
            <w:tcW w:type="dxa" w:w="52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Безвозвратные потери*</w:t>
            </w:r>
          </w:p>
        </w:tc>
        <w:tc>
          <w:tcPr>
            <w:tcW w:type="dxa" w:w="52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Списано по акту</w:t>
            </w:r>
          </w:p>
        </w:tc>
        <w:tc>
          <w:tcPr>
            <w:tcW w:type="dxa" w:w="1359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Остаток на конец месяца</w:t>
            </w:r>
          </w:p>
        </w:tc>
        <w:tc>
          <w:tcPr>
            <w:tcW w:type="dxa" w:w="67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Фактический расход на 1 т сырья, кг/тн</w:t>
            </w:r>
          </w:p>
        </w:tc>
        <w:tc>
          <w:tcPr>
            <w:tcW w:type="dxa" w:w="6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Примечание</w:t>
            </w:r>
          </w:p>
        </w:tc>
      </w:tr>
      <w:tr>
        <w:trPr>
          <w:trHeight w:val="219" w:hRule="atLeast"/>
          <w:cantSplit/>
        </w:trPr>
        <w:tc>
          <w:tcPr>
            <w:tcW w:type="dxa" w:w="502"/>
            <w:vMerge/>
          </w:tcPr>
          <w:p/>
        </w:tc>
        <w:tc>
          <w:tcPr>
            <w:tcW w:type="dxa" w:w="502"/>
            <w:vMerge/>
          </w:tcPr>
          <w:p/>
        </w:tc>
        <w:tc>
          <w:tcPr>
            <w:tcW w:type="dxa" w:w="773"/>
            <w:vMerge/>
          </w:tcPr>
          <w:p/>
        </w:tc>
        <w:tc>
          <w:tcPr>
            <w:tcW w:type="dxa" w:w="316"/>
            <w:vMerge/>
          </w:tcPr>
          <w:p/>
        </w:tc>
        <w:tc>
          <w:tcPr>
            <w:tcW w:type="dxa" w:w="596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02"/>
            <w:vMerge/>
          </w:tcPr>
          <w:p/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загружено</w:t>
            </w:r>
          </w:p>
        </w:tc>
        <w:tc>
          <w:tcPr>
            <w:tcW w:type="dxa" w:w="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на установке               (по реагентам) /       не начислен износ (по катализаторам)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парк реагентов</w:t>
            </w:r>
          </w:p>
        </w:tc>
        <w:tc>
          <w:tcPr>
            <w:tcW w:type="dxa" w:w="4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extDirection w:val="btL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база оборудования                  (цех № 17)</w:t>
            </w:r>
          </w:p>
        </w:tc>
        <w:tc>
          <w:tcPr>
            <w:tcW w:type="dxa" w:w="2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extDirection w:val="btL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цеха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выгрузки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загрузки</w:t>
            </w:r>
          </w:p>
        </w:tc>
        <w:tc>
          <w:tcPr>
            <w:tcW w:type="dxa" w:w="3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по норме</w:t>
            </w:r>
          </w:p>
        </w:tc>
        <w:tc>
          <w:tcPr>
            <w:tcW w:type="dxa" w:w="604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фактически</w:t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стоимость фактически израсходованных катализаторов и реагентов, бел. руб.</w:t>
            </w:r>
          </w:p>
        </w:tc>
        <w:tc>
          <w:tcPr>
            <w:tcW w:type="dxa" w:w="753"/>
            <w:gridSpan w:val="2"/>
            <w:vMerge/>
          </w:tcPr>
          <w:p/>
        </w:tc>
        <w:tc>
          <w:tcPr>
            <w:tcW w:type="dxa" w:w="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extDirection w:val="btL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база оборудования               (цех № 17)</w:t>
            </w:r>
          </w:p>
        </w:tc>
        <w:tc>
          <w:tcPr>
            <w:tcW w:type="dxa" w:w="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extDirection w:val="btL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цеха</w:t>
            </w:r>
          </w:p>
        </w:tc>
        <w:tc>
          <w:tcPr>
            <w:tcW w:type="dxa" w:w="521"/>
            <w:vMerge/>
          </w:tcPr>
          <w:p/>
        </w:tc>
        <w:tc>
          <w:tcPr>
            <w:tcW w:type="dxa" w:w="521"/>
            <w:vMerge/>
          </w:tcPr>
          <w:p/>
        </w:tc>
        <w:tc>
          <w:tcPr>
            <w:tcW w:type="dxa" w:w="5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загружено</w:t>
            </w:r>
          </w:p>
        </w:tc>
        <w:tc>
          <w:tcPr>
            <w:tcW w:type="dxa" w:w="7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на установке (по реагентам) / не начислен износ (по катализаторам)</w:t>
            </w:r>
          </w:p>
        </w:tc>
        <w:tc>
          <w:tcPr>
            <w:tcW w:type="dxa" w:w="670"/>
            <w:vMerge/>
          </w:tcPr>
          <w:p/>
        </w:tc>
        <w:tc>
          <w:tcPr>
            <w:tcW w:type="dxa" w:w="660"/>
            <w:vMerge/>
          </w:tcPr>
          <w:p/>
        </w:tc>
      </w:tr>
    </w:tbl>
    <w:p>
      <w:pPr>
        <w:widowControl w:val="0"/>
        <w:spacing w:before="0" w:after="0" w:lineRule="exact" w:line="81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502"/>
        <w:gridCol w:w="502"/>
        <w:gridCol w:w="773"/>
        <w:gridCol w:w="316"/>
        <w:gridCol w:w="596"/>
        <w:gridCol w:w="567"/>
        <w:gridCol w:w="502"/>
        <w:gridCol w:w="596"/>
        <w:gridCol w:w="819"/>
        <w:gridCol w:w="596"/>
        <w:gridCol w:w="447"/>
        <w:gridCol w:w="270"/>
        <w:gridCol w:w="596"/>
        <w:gridCol w:w="596"/>
        <w:gridCol w:w="372"/>
        <w:gridCol w:w="596"/>
        <w:gridCol w:w="8"/>
        <w:gridCol w:w="754"/>
        <w:gridCol w:w="521"/>
        <w:gridCol w:w="232"/>
        <w:gridCol w:w="391"/>
        <w:gridCol w:w="288"/>
        <w:gridCol w:w="521"/>
        <w:gridCol w:w="521"/>
        <w:gridCol w:w="567"/>
        <w:gridCol w:w="792"/>
        <w:gridCol w:w="670"/>
        <w:gridCol w:w="660"/>
      </w:tblGrid>
      <w:tr>
        <w:trPr>
          <w:trHeight w:val="146" w:hRule="atLeast"/>
          <w:cantSplit/>
        </w:trPr>
        <w:tc>
          <w:tcPr>
            <w:tcW w:type="dxa" w:w="7082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(наименование установки)</w:t>
            </w:r>
          </w:p>
        </w:tc>
        <w:tc>
          <w:tcPr>
            <w:tcW w:type="dxa" w:w="7489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(номер склада в SAP ERP, фамилия, инициалы материально ответственного лица)</w:t>
            </w:r>
          </w:p>
        </w:tc>
      </w:tr>
      <w:tr>
        <w:trPr>
          <w:trHeight w:val="154" w:hRule="atLeast"/>
          <w:cantSplit/>
        </w:trPr>
        <w:tc>
          <w:tcPr>
            <w:tcW w:type="dxa" w:w="5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77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3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4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2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3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604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753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5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7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6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  <w:tc>
          <w:tcPr>
            <w:tcW w:type="dxa" w:w="6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1"/>
              </w:rPr>
            </w:r>
          </w:p>
        </w:tc>
      </w:tr>
    </w:tbl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tabs>
          <w:tab w:pos="1004" w:val="left"/>
          <w:tab w:pos="6485" w:val="left" w:leader="underscore"/>
        </w:tabs>
        <w:spacing w:before="0" w:after="0" w:lineRule="atLeast" w:line="154"/>
        <w:ind w:left="0"/>
      </w:pPr>
      <w:r>
        <w:rPr>
          <w:rFonts w:ascii="Times New Roman" w:hAnsi="Times New Roman" w:cs="Times New Roman" w:eastAsia="Times New Roman"/>
          <w:sz w:val="11"/>
        </w:rPr>
        <w:t>Основание:</w:t>
      </w:r>
      <w:r>
        <w:rPr>
          <w:rFonts w:ascii="Times New Roman" w:hAnsi="Times New Roman" w:cs="Times New Roman" w:eastAsia="Times New Roman"/>
          <w:sz w:val="11"/>
        </w:rPr>
        <w:tab/>
      </w:r>
      <w:r>
        <w:rPr>
          <w:rFonts w:ascii="Times New Roman" w:hAnsi="Times New Roman" w:cs="Times New Roman" w:eastAsia="Times New Roman"/>
          <w:sz w:val="11"/>
        </w:rPr>
        <w:tab/>
      </w:r>
    </w:p>
    <w:p>
      <w:pPr>
        <w:widowControl w:val="0"/>
        <w:spacing w:before="0" w:after="0" w:lineRule="atLeast" w:line="146"/>
        <w:ind w:left="1004" w:right="8085"/>
        <w:jc w:val="center"/>
      </w:pPr>
      <w:r>
        <w:rPr>
          <w:rFonts w:ascii="Times New Roman" w:hAnsi="Times New Roman" w:cs="Times New Roman" w:eastAsia="Times New Roman"/>
          <w:sz w:val="10"/>
        </w:rPr>
        <w:t>(наименование, дата, номер)</w:t>
      </w:r>
    </w:p>
    <w:p>
      <w:pPr>
        <w:widowControl w:val="0"/>
        <w:spacing w:before="0" w:after="0" w:lineRule="atLeast" w:line="154"/>
        <w:ind w:left="2066"/>
      </w:pPr>
      <w:r>
        <w:rPr>
          <w:rFonts w:ascii="Times New Roman" w:hAnsi="Times New Roman" w:cs="Times New Roman" w:eastAsia="Times New Roman"/>
          <w:sz w:val="11"/>
        </w:rPr>
        <w:t>Инженер-технолог                                                                         Начальник материального</w:t>
      </w:r>
    </w:p>
    <w:p>
      <w:pPr>
        <w:widowControl w:val="0"/>
        <w:spacing w:before="0" w:after="0" w:lineRule="atLeast" w:line="154"/>
        <w:ind w:left="0"/>
      </w:pPr>
      <w:r>
        <w:rPr>
          <w:rFonts w:ascii="Times New Roman" w:hAnsi="Times New Roman" w:cs="Times New Roman" w:eastAsia="Times New Roman"/>
          <w:sz w:val="11"/>
        </w:rPr>
        <w:t>_______________________________                                                                   отдела главного технолога ________________________                  сектора бухгалтерии ________________________</w:t>
      </w:r>
    </w:p>
    <w:p>
      <w:pPr>
        <w:widowControl w:val="0"/>
        <w:tabs>
          <w:tab w:pos="8244" w:val="center"/>
          <w:tab w:pos="12039" w:val="center"/>
        </w:tabs>
        <w:spacing w:before="0" w:after="0" w:lineRule="atLeast" w:line="146"/>
        <w:ind w:left="155"/>
      </w:pPr>
      <w:r>
        <w:rPr>
          <w:rFonts w:ascii="Times New Roman" w:hAnsi="Times New Roman" w:cs="Times New Roman" w:eastAsia="Times New Roman"/>
          <w:sz w:val="10"/>
        </w:rPr>
        <w:t>(должность, подпись, инициалы, фамилия)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(подпись, инициалы, фамилия)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(подпись, инициалы, фамилия)</w:t>
      </w:r>
    </w:p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spacing w:before="0" w:after="0" w:lineRule="atLeast" w:line="154"/>
        <w:ind w:left="0"/>
      </w:pPr>
      <w:r>
        <w:rPr>
          <w:rFonts w:ascii="Times New Roman" w:hAnsi="Times New Roman" w:cs="Times New Roman" w:eastAsia="Times New Roman"/>
          <w:sz w:val="11"/>
        </w:rPr>
        <w:t>Исполнитель:  _________________________________________________                                                                                                                                       Бухгалтер материального</w:t>
      </w:r>
    </w:p>
    <w:p>
      <w:pPr>
        <w:widowControl w:val="0"/>
        <w:spacing w:before="0" w:after="34" w:lineRule="exact" w:line="120"/>
        <w:ind w:left="528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                                                                                                                                                     сектора бухгалтерии ____________________________</w:t>
      </w:r>
    </w:p>
    <w:p>
      <w:pPr>
        <w:widowControl w:val="0"/>
        <w:spacing w:before="0" w:after="0" w:lineRule="atLeast" w:line="124"/>
        <w:ind w:left="11881" w:right="0"/>
        <w:jc w:val="center"/>
      </w:pPr>
      <w:r>
        <w:rPr>
          <w:rFonts w:ascii="Times New Roman" w:hAnsi="Times New Roman" w:cs="Times New Roman" w:eastAsia="Times New Roman"/>
          <w:sz w:val="10"/>
        </w:rPr>
        <w:t>(подпись, инициалы, фамилия)</w:t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spacing w:before="0" w:after="0" w:lineRule="exact" w:line="154"/>
        <w:rPr>
          <w:sz w:val="11"/>
        </w:rPr>
      </w:pPr>
      <w:r>
        <w:rPr>
          <w:rFonts w:ascii="Times New Roman" w:hAnsi="Times New Roman" w:cs="Times New Roman" w:eastAsia="Times New Roman"/>
          <w:sz w:val="11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exact" w:line="146"/>
        <w:rPr>
          <w:sz w:val="10"/>
        </w:rPr>
      </w:pPr>
      <w:r>
        <w:rPr>
          <w:rFonts w:ascii="Times New Roman" w:hAnsi="Times New Roman" w:cs="Times New Roman" w:eastAsia="Times New Roman"/>
          <w:sz w:val="10"/>
        </w:rPr>
      </w:r>
    </w:p>
    <w:p>
      <w:pPr>
        <w:widowControl w:val="0"/>
        <w:spacing w:before="0" w:after="0" w:lineRule="atLeast" w:line="146"/>
        <w:ind w:left="0"/>
      </w:pPr>
      <w:r>
        <w:rPr>
          <w:rFonts w:ascii="Times New Roman" w:hAnsi="Times New Roman" w:cs="Times New Roman" w:eastAsia="Times New Roman"/>
          <w:sz w:val="10"/>
        </w:rPr>
        <w:t>* заполняют структурные подразделения, выделяющие безвозвратные потери реагентов и катализаторов</w:t>
      </w:r>
    </w:p>
    <w:sectPr w:rsidR="00FC693F" w:rsidRPr="0006063C" w:rsidSect="00034616">
      <w:pgSz w:w="16838" w:h="11906" w:orient="landscape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