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898BD" w14:textId="77777777" w:rsidR="00FB0DCE" w:rsidRDefault="00FB0DCE" w:rsidP="005264E7"/>
    <w:p w14:paraId="3D66267B" w14:textId="77777777" w:rsidR="00FB0DCE" w:rsidRDefault="00FB0DCE" w:rsidP="005264E7"/>
    <w:p w14:paraId="1225533A" w14:textId="77777777" w:rsidR="00FB0DCE" w:rsidRDefault="00FB0DCE" w:rsidP="005264E7"/>
    <w:p w14:paraId="5B4B54E6" w14:textId="77777777" w:rsidR="00FB0DCE" w:rsidRDefault="00FB0DCE" w:rsidP="005264E7"/>
    <w:p w14:paraId="799228D1" w14:textId="77777777" w:rsidR="00FB0DCE" w:rsidRDefault="00FB0DCE" w:rsidP="005264E7"/>
    <w:sdt>
      <w:sdtPr>
        <w:rPr>
          <w:rFonts w:ascii="Arial" w:eastAsia="Times New Roman" w:hAnsi="Arial" w:cs="Arial"/>
          <w:b w:val="0"/>
          <w:bCs w:val="0"/>
          <w:color w:val="auto"/>
          <w:sz w:val="22"/>
          <w:szCs w:val="22"/>
        </w:rPr>
        <w:id w:val="-1848396246"/>
        <w:docPartObj>
          <w:docPartGallery w:val="Table of Contents"/>
          <w:docPartUnique/>
        </w:docPartObj>
      </w:sdtPr>
      <w:sdtEndPr>
        <w:rPr>
          <w:noProof/>
        </w:rPr>
      </w:sdtEndPr>
      <w:sdtContent>
        <w:p w14:paraId="0367AD1A" w14:textId="46D0877A" w:rsidR="00F25896" w:rsidRDefault="00F25896">
          <w:pPr>
            <w:pStyle w:val="Inhaltsverzeichnisberschrift"/>
          </w:pPr>
          <w:r>
            <w:t>Inhaltsverzeichnis</w:t>
          </w:r>
        </w:p>
        <w:p w14:paraId="15BA3663" w14:textId="28472DA8" w:rsidR="007E772E" w:rsidRDefault="00F25896">
          <w:pPr>
            <w:pStyle w:val="Verzeichnis1"/>
            <w:tabs>
              <w:tab w:val="right" w:leader="underscore" w:pos="8488"/>
            </w:tabs>
            <w:rPr>
              <w:rFonts w:eastAsiaTheme="minorEastAsia" w:cstheme="minorBidi"/>
              <w:b w:val="0"/>
              <w:bCs w:val="0"/>
              <w:caps w:val="0"/>
              <w:noProof/>
              <w:kern w:val="2"/>
              <w:sz w:val="24"/>
              <w:szCs w:val="24"/>
              <w14:ligatures w14:val="standardContextual"/>
            </w:rPr>
          </w:pPr>
          <w:r>
            <w:rPr>
              <w:b w:val="0"/>
              <w:bCs w:val="0"/>
            </w:rPr>
            <w:fldChar w:fldCharType="begin"/>
          </w:r>
          <w:r>
            <w:instrText>TOC \o "1-3" \h \z \u</w:instrText>
          </w:r>
          <w:r>
            <w:rPr>
              <w:b w:val="0"/>
              <w:bCs w:val="0"/>
            </w:rPr>
            <w:fldChar w:fldCharType="separate"/>
          </w:r>
          <w:hyperlink w:anchor="_Toc222521077" w:history="1">
            <w:r w:rsidR="007E772E" w:rsidRPr="00C8714A">
              <w:rPr>
                <w:rStyle w:val="Hyperlink"/>
                <w:noProof/>
              </w:rPr>
              <w:t>EXPOSÉ TEIL 1</w:t>
            </w:r>
            <w:r w:rsidR="007E772E">
              <w:rPr>
                <w:noProof/>
                <w:webHidden/>
              </w:rPr>
              <w:tab/>
            </w:r>
            <w:r w:rsidR="007E772E">
              <w:rPr>
                <w:noProof/>
                <w:webHidden/>
              </w:rPr>
              <w:fldChar w:fldCharType="begin"/>
            </w:r>
            <w:r w:rsidR="007E772E">
              <w:rPr>
                <w:noProof/>
                <w:webHidden/>
              </w:rPr>
              <w:instrText xml:space="preserve"> PAGEREF _Toc222521077 \h </w:instrText>
            </w:r>
            <w:r w:rsidR="007E772E">
              <w:rPr>
                <w:noProof/>
                <w:webHidden/>
              </w:rPr>
            </w:r>
            <w:r w:rsidR="007E772E">
              <w:rPr>
                <w:noProof/>
                <w:webHidden/>
              </w:rPr>
              <w:fldChar w:fldCharType="separate"/>
            </w:r>
            <w:r w:rsidR="001B4362">
              <w:rPr>
                <w:noProof/>
                <w:webHidden/>
              </w:rPr>
              <w:t>2</w:t>
            </w:r>
            <w:r w:rsidR="007E772E">
              <w:rPr>
                <w:noProof/>
                <w:webHidden/>
              </w:rPr>
              <w:fldChar w:fldCharType="end"/>
            </w:r>
          </w:hyperlink>
        </w:p>
        <w:p w14:paraId="23C540B2" w14:textId="5D04822D" w:rsidR="007E772E" w:rsidRDefault="007E772E">
          <w:pPr>
            <w:pStyle w:val="Verzeichnis1"/>
            <w:tabs>
              <w:tab w:val="right" w:leader="underscore" w:pos="8488"/>
            </w:tabs>
            <w:rPr>
              <w:rFonts w:eastAsiaTheme="minorEastAsia" w:cstheme="minorBidi"/>
              <w:b w:val="0"/>
              <w:bCs w:val="0"/>
              <w:caps w:val="0"/>
              <w:noProof/>
              <w:kern w:val="2"/>
              <w:sz w:val="24"/>
              <w:szCs w:val="24"/>
              <w14:ligatures w14:val="standardContextual"/>
            </w:rPr>
          </w:pPr>
          <w:hyperlink w:anchor="_Toc222521078" w:history="1">
            <w:r w:rsidRPr="00C8714A">
              <w:rPr>
                <w:rStyle w:val="Hyperlink"/>
                <w:noProof/>
              </w:rPr>
              <w:t>1.1. Arbeitstitel</w:t>
            </w:r>
            <w:r>
              <w:rPr>
                <w:noProof/>
                <w:webHidden/>
              </w:rPr>
              <w:tab/>
            </w:r>
            <w:r>
              <w:rPr>
                <w:noProof/>
                <w:webHidden/>
              </w:rPr>
              <w:fldChar w:fldCharType="begin"/>
            </w:r>
            <w:r>
              <w:rPr>
                <w:noProof/>
                <w:webHidden/>
              </w:rPr>
              <w:instrText xml:space="preserve"> PAGEREF _Toc222521078 \h </w:instrText>
            </w:r>
            <w:r>
              <w:rPr>
                <w:noProof/>
                <w:webHidden/>
              </w:rPr>
            </w:r>
            <w:r>
              <w:rPr>
                <w:noProof/>
                <w:webHidden/>
              </w:rPr>
              <w:fldChar w:fldCharType="separate"/>
            </w:r>
            <w:r w:rsidR="001B4362">
              <w:rPr>
                <w:noProof/>
                <w:webHidden/>
              </w:rPr>
              <w:t>2</w:t>
            </w:r>
            <w:r>
              <w:rPr>
                <w:noProof/>
                <w:webHidden/>
              </w:rPr>
              <w:fldChar w:fldCharType="end"/>
            </w:r>
          </w:hyperlink>
        </w:p>
        <w:p w14:paraId="614FA023" w14:textId="34184F2E" w:rsidR="007E772E" w:rsidRDefault="007E772E">
          <w:pPr>
            <w:pStyle w:val="Verzeichnis2"/>
            <w:tabs>
              <w:tab w:val="right" w:leader="underscore" w:pos="8488"/>
            </w:tabs>
            <w:rPr>
              <w:rFonts w:eastAsiaTheme="minorEastAsia" w:cstheme="minorBidi"/>
              <w:smallCaps w:val="0"/>
              <w:noProof/>
              <w:kern w:val="2"/>
              <w:sz w:val="24"/>
              <w:szCs w:val="24"/>
              <w14:ligatures w14:val="standardContextual"/>
            </w:rPr>
          </w:pPr>
          <w:hyperlink w:anchor="_Toc222521079" w:history="1">
            <w:r w:rsidRPr="00C8714A">
              <w:rPr>
                <w:rStyle w:val="Hyperlink"/>
                <w:noProof/>
              </w:rPr>
              <w:t>1.2 Problemstellung - Operative und konzeptionelle Lücken im Enterprise-Betrieb generativer KI-Systeme</w:t>
            </w:r>
            <w:r>
              <w:rPr>
                <w:noProof/>
                <w:webHidden/>
              </w:rPr>
              <w:tab/>
            </w:r>
            <w:r>
              <w:rPr>
                <w:noProof/>
                <w:webHidden/>
              </w:rPr>
              <w:fldChar w:fldCharType="begin"/>
            </w:r>
            <w:r>
              <w:rPr>
                <w:noProof/>
                <w:webHidden/>
              </w:rPr>
              <w:instrText xml:space="preserve"> PAGEREF _Toc222521079 \h </w:instrText>
            </w:r>
            <w:r>
              <w:rPr>
                <w:noProof/>
                <w:webHidden/>
              </w:rPr>
            </w:r>
            <w:r>
              <w:rPr>
                <w:noProof/>
                <w:webHidden/>
              </w:rPr>
              <w:fldChar w:fldCharType="separate"/>
            </w:r>
            <w:r w:rsidR="001B4362">
              <w:rPr>
                <w:noProof/>
                <w:webHidden/>
              </w:rPr>
              <w:t>2</w:t>
            </w:r>
            <w:r>
              <w:rPr>
                <w:noProof/>
                <w:webHidden/>
              </w:rPr>
              <w:fldChar w:fldCharType="end"/>
            </w:r>
          </w:hyperlink>
        </w:p>
        <w:p w14:paraId="46BF56C0" w14:textId="283BD34C" w:rsidR="007E772E" w:rsidRDefault="007E772E">
          <w:pPr>
            <w:pStyle w:val="Verzeichnis3"/>
            <w:tabs>
              <w:tab w:val="right" w:leader="underscore" w:pos="8488"/>
            </w:tabs>
            <w:rPr>
              <w:rFonts w:eastAsiaTheme="minorEastAsia" w:cstheme="minorBidi"/>
              <w:i w:val="0"/>
              <w:iCs w:val="0"/>
              <w:noProof/>
              <w:kern w:val="2"/>
              <w:sz w:val="24"/>
              <w:szCs w:val="24"/>
              <w14:ligatures w14:val="standardContextual"/>
            </w:rPr>
          </w:pPr>
          <w:hyperlink w:anchor="_Toc222521080" w:history="1">
            <w:r w:rsidRPr="00C8714A">
              <w:rPr>
                <w:rStyle w:val="Hyperlink"/>
                <w:noProof/>
              </w:rPr>
              <w:t>1.2.1 Erste Problemdimension: Fragmentierung bestehender Operationalisierungs-frameworks</w:t>
            </w:r>
            <w:r>
              <w:rPr>
                <w:noProof/>
                <w:webHidden/>
              </w:rPr>
              <w:tab/>
            </w:r>
            <w:r>
              <w:rPr>
                <w:noProof/>
                <w:webHidden/>
              </w:rPr>
              <w:fldChar w:fldCharType="begin"/>
            </w:r>
            <w:r>
              <w:rPr>
                <w:noProof/>
                <w:webHidden/>
              </w:rPr>
              <w:instrText xml:space="preserve"> PAGEREF _Toc222521080 \h </w:instrText>
            </w:r>
            <w:r>
              <w:rPr>
                <w:noProof/>
                <w:webHidden/>
              </w:rPr>
            </w:r>
            <w:r>
              <w:rPr>
                <w:noProof/>
                <w:webHidden/>
              </w:rPr>
              <w:fldChar w:fldCharType="separate"/>
            </w:r>
            <w:r w:rsidR="001B4362">
              <w:rPr>
                <w:noProof/>
                <w:webHidden/>
              </w:rPr>
              <w:t>3</w:t>
            </w:r>
            <w:r>
              <w:rPr>
                <w:noProof/>
                <w:webHidden/>
              </w:rPr>
              <w:fldChar w:fldCharType="end"/>
            </w:r>
          </w:hyperlink>
        </w:p>
        <w:p w14:paraId="356FDD24" w14:textId="358F9CF1" w:rsidR="007E772E" w:rsidRDefault="007E772E">
          <w:pPr>
            <w:pStyle w:val="Verzeichnis3"/>
            <w:tabs>
              <w:tab w:val="right" w:leader="underscore" w:pos="8488"/>
            </w:tabs>
            <w:rPr>
              <w:rFonts w:eastAsiaTheme="minorEastAsia" w:cstheme="minorBidi"/>
              <w:i w:val="0"/>
              <w:iCs w:val="0"/>
              <w:noProof/>
              <w:kern w:val="2"/>
              <w:sz w:val="24"/>
              <w:szCs w:val="24"/>
              <w14:ligatures w14:val="standardContextual"/>
            </w:rPr>
          </w:pPr>
          <w:hyperlink w:anchor="_Toc222521081" w:history="1">
            <w:r w:rsidRPr="00C8714A">
              <w:rPr>
                <w:rStyle w:val="Hyperlink"/>
                <w:noProof/>
              </w:rPr>
              <w:t>1.2.2 Zweite Problemdimension: Methodische Inadäquanz bestehender Qualitätssicherungsmechanismen für generative KI-Systeme</w:t>
            </w:r>
            <w:r>
              <w:rPr>
                <w:noProof/>
                <w:webHidden/>
              </w:rPr>
              <w:tab/>
            </w:r>
            <w:r>
              <w:rPr>
                <w:noProof/>
                <w:webHidden/>
              </w:rPr>
              <w:fldChar w:fldCharType="begin"/>
            </w:r>
            <w:r>
              <w:rPr>
                <w:noProof/>
                <w:webHidden/>
              </w:rPr>
              <w:instrText xml:space="preserve"> PAGEREF _Toc222521081 \h </w:instrText>
            </w:r>
            <w:r>
              <w:rPr>
                <w:noProof/>
                <w:webHidden/>
              </w:rPr>
            </w:r>
            <w:r>
              <w:rPr>
                <w:noProof/>
                <w:webHidden/>
              </w:rPr>
              <w:fldChar w:fldCharType="separate"/>
            </w:r>
            <w:r w:rsidR="001B4362">
              <w:rPr>
                <w:noProof/>
                <w:webHidden/>
              </w:rPr>
              <w:t>4</w:t>
            </w:r>
            <w:r>
              <w:rPr>
                <w:noProof/>
                <w:webHidden/>
              </w:rPr>
              <w:fldChar w:fldCharType="end"/>
            </w:r>
          </w:hyperlink>
        </w:p>
        <w:p w14:paraId="1F837C4E" w14:textId="350D6C93" w:rsidR="007E772E" w:rsidRDefault="007E772E">
          <w:pPr>
            <w:pStyle w:val="Verzeichnis3"/>
            <w:tabs>
              <w:tab w:val="right" w:leader="underscore" w:pos="8488"/>
            </w:tabs>
            <w:rPr>
              <w:rFonts w:eastAsiaTheme="minorEastAsia" w:cstheme="minorBidi"/>
              <w:i w:val="0"/>
              <w:iCs w:val="0"/>
              <w:noProof/>
              <w:kern w:val="2"/>
              <w:sz w:val="24"/>
              <w:szCs w:val="24"/>
              <w14:ligatures w14:val="standardContextual"/>
            </w:rPr>
          </w:pPr>
          <w:hyperlink w:anchor="_Toc222521082" w:history="1">
            <w:r w:rsidRPr="00C8714A">
              <w:rPr>
                <w:rStyle w:val="Hyperlink"/>
                <w:noProof/>
              </w:rPr>
              <w:t>1.2.3 Problemdimension 3: Compliance-Operationalisierungslücke (EU AI Act)</w:t>
            </w:r>
            <w:r>
              <w:rPr>
                <w:noProof/>
                <w:webHidden/>
              </w:rPr>
              <w:tab/>
            </w:r>
            <w:r>
              <w:rPr>
                <w:noProof/>
                <w:webHidden/>
              </w:rPr>
              <w:fldChar w:fldCharType="begin"/>
            </w:r>
            <w:r>
              <w:rPr>
                <w:noProof/>
                <w:webHidden/>
              </w:rPr>
              <w:instrText xml:space="preserve"> PAGEREF _Toc222521082 \h </w:instrText>
            </w:r>
            <w:r>
              <w:rPr>
                <w:noProof/>
                <w:webHidden/>
              </w:rPr>
            </w:r>
            <w:r>
              <w:rPr>
                <w:noProof/>
                <w:webHidden/>
              </w:rPr>
              <w:fldChar w:fldCharType="separate"/>
            </w:r>
            <w:r w:rsidR="001B4362">
              <w:rPr>
                <w:noProof/>
                <w:webHidden/>
              </w:rPr>
              <w:t>5</w:t>
            </w:r>
            <w:r>
              <w:rPr>
                <w:noProof/>
                <w:webHidden/>
              </w:rPr>
              <w:fldChar w:fldCharType="end"/>
            </w:r>
          </w:hyperlink>
        </w:p>
        <w:p w14:paraId="12448817" w14:textId="479EAE82" w:rsidR="007E772E" w:rsidRDefault="007E772E">
          <w:pPr>
            <w:pStyle w:val="Verzeichnis2"/>
            <w:tabs>
              <w:tab w:val="right" w:leader="underscore" w:pos="8488"/>
            </w:tabs>
            <w:rPr>
              <w:rFonts w:eastAsiaTheme="minorEastAsia" w:cstheme="minorBidi"/>
              <w:smallCaps w:val="0"/>
              <w:noProof/>
              <w:kern w:val="2"/>
              <w:sz w:val="24"/>
              <w:szCs w:val="24"/>
              <w14:ligatures w14:val="standardContextual"/>
            </w:rPr>
          </w:pPr>
          <w:hyperlink w:anchor="_Toc222521083" w:history="1">
            <w:r w:rsidRPr="00C8714A">
              <w:rPr>
                <w:rStyle w:val="Hyperlink"/>
                <w:noProof/>
              </w:rPr>
              <w:t>1.3 Zielsetzung der Arbeit und Leitfragen</w:t>
            </w:r>
            <w:r>
              <w:rPr>
                <w:noProof/>
                <w:webHidden/>
              </w:rPr>
              <w:tab/>
            </w:r>
            <w:r>
              <w:rPr>
                <w:noProof/>
                <w:webHidden/>
              </w:rPr>
              <w:fldChar w:fldCharType="begin"/>
            </w:r>
            <w:r>
              <w:rPr>
                <w:noProof/>
                <w:webHidden/>
              </w:rPr>
              <w:instrText xml:space="preserve"> PAGEREF _Toc222521083 \h </w:instrText>
            </w:r>
            <w:r>
              <w:rPr>
                <w:noProof/>
                <w:webHidden/>
              </w:rPr>
            </w:r>
            <w:r>
              <w:rPr>
                <w:noProof/>
                <w:webHidden/>
              </w:rPr>
              <w:fldChar w:fldCharType="separate"/>
            </w:r>
            <w:r w:rsidR="001B4362">
              <w:rPr>
                <w:noProof/>
                <w:webHidden/>
              </w:rPr>
              <w:t>8</w:t>
            </w:r>
            <w:r>
              <w:rPr>
                <w:noProof/>
                <w:webHidden/>
              </w:rPr>
              <w:fldChar w:fldCharType="end"/>
            </w:r>
          </w:hyperlink>
        </w:p>
        <w:p w14:paraId="6A25A655" w14:textId="74E0AF36" w:rsidR="007E772E" w:rsidRDefault="007E772E">
          <w:pPr>
            <w:pStyle w:val="Verzeichnis2"/>
            <w:tabs>
              <w:tab w:val="right" w:leader="underscore" w:pos="8488"/>
            </w:tabs>
            <w:rPr>
              <w:rFonts w:eastAsiaTheme="minorEastAsia" w:cstheme="minorBidi"/>
              <w:smallCaps w:val="0"/>
              <w:noProof/>
              <w:kern w:val="2"/>
              <w:sz w:val="24"/>
              <w:szCs w:val="24"/>
              <w14:ligatures w14:val="standardContextual"/>
            </w:rPr>
          </w:pPr>
          <w:hyperlink w:anchor="_Toc222521084" w:history="1">
            <w:r w:rsidRPr="00C8714A">
              <w:rPr>
                <w:rStyle w:val="Hyperlink"/>
                <w:noProof/>
              </w:rPr>
              <w:t>1.4 Methode</w:t>
            </w:r>
            <w:r>
              <w:rPr>
                <w:noProof/>
                <w:webHidden/>
              </w:rPr>
              <w:tab/>
            </w:r>
            <w:r>
              <w:rPr>
                <w:noProof/>
                <w:webHidden/>
              </w:rPr>
              <w:fldChar w:fldCharType="begin"/>
            </w:r>
            <w:r>
              <w:rPr>
                <w:noProof/>
                <w:webHidden/>
              </w:rPr>
              <w:instrText xml:space="preserve"> PAGEREF _Toc222521084 \h </w:instrText>
            </w:r>
            <w:r>
              <w:rPr>
                <w:noProof/>
                <w:webHidden/>
              </w:rPr>
            </w:r>
            <w:r>
              <w:rPr>
                <w:noProof/>
                <w:webHidden/>
              </w:rPr>
              <w:fldChar w:fldCharType="separate"/>
            </w:r>
            <w:r w:rsidR="001B4362">
              <w:rPr>
                <w:noProof/>
                <w:webHidden/>
              </w:rPr>
              <w:t>9</w:t>
            </w:r>
            <w:r>
              <w:rPr>
                <w:noProof/>
                <w:webHidden/>
              </w:rPr>
              <w:fldChar w:fldCharType="end"/>
            </w:r>
          </w:hyperlink>
        </w:p>
        <w:p w14:paraId="416AEBC3" w14:textId="4580BE37" w:rsidR="007E772E" w:rsidRDefault="007E772E">
          <w:pPr>
            <w:pStyle w:val="Verzeichnis1"/>
            <w:tabs>
              <w:tab w:val="right" w:leader="underscore" w:pos="8488"/>
            </w:tabs>
            <w:rPr>
              <w:rFonts w:eastAsiaTheme="minorEastAsia" w:cstheme="minorBidi"/>
              <w:b w:val="0"/>
              <w:bCs w:val="0"/>
              <w:caps w:val="0"/>
              <w:noProof/>
              <w:kern w:val="2"/>
              <w:sz w:val="24"/>
              <w:szCs w:val="24"/>
              <w14:ligatures w14:val="standardContextual"/>
            </w:rPr>
          </w:pPr>
          <w:hyperlink w:anchor="_Toc222521085" w:history="1">
            <w:r w:rsidRPr="00C8714A">
              <w:rPr>
                <w:rStyle w:val="Hyperlink"/>
                <w:noProof/>
              </w:rPr>
              <w:t>EXPOSÉ TEIL 2</w:t>
            </w:r>
            <w:r>
              <w:rPr>
                <w:noProof/>
                <w:webHidden/>
              </w:rPr>
              <w:tab/>
            </w:r>
            <w:r>
              <w:rPr>
                <w:noProof/>
                <w:webHidden/>
              </w:rPr>
              <w:fldChar w:fldCharType="begin"/>
            </w:r>
            <w:r>
              <w:rPr>
                <w:noProof/>
                <w:webHidden/>
              </w:rPr>
              <w:instrText xml:space="preserve"> PAGEREF _Toc222521085 \h </w:instrText>
            </w:r>
            <w:r>
              <w:rPr>
                <w:noProof/>
                <w:webHidden/>
              </w:rPr>
            </w:r>
            <w:r>
              <w:rPr>
                <w:noProof/>
                <w:webHidden/>
              </w:rPr>
              <w:fldChar w:fldCharType="separate"/>
            </w:r>
            <w:r w:rsidR="001B4362">
              <w:rPr>
                <w:noProof/>
                <w:webHidden/>
              </w:rPr>
              <w:t>10</w:t>
            </w:r>
            <w:r>
              <w:rPr>
                <w:noProof/>
                <w:webHidden/>
              </w:rPr>
              <w:fldChar w:fldCharType="end"/>
            </w:r>
          </w:hyperlink>
        </w:p>
        <w:p w14:paraId="3DE36C5C" w14:textId="72BD7CEB" w:rsidR="007E772E" w:rsidRDefault="007E772E">
          <w:pPr>
            <w:pStyle w:val="Verzeichnis2"/>
            <w:tabs>
              <w:tab w:val="right" w:leader="underscore" w:pos="8488"/>
            </w:tabs>
            <w:rPr>
              <w:rFonts w:eastAsiaTheme="minorEastAsia" w:cstheme="minorBidi"/>
              <w:smallCaps w:val="0"/>
              <w:noProof/>
              <w:kern w:val="2"/>
              <w:sz w:val="24"/>
              <w:szCs w:val="24"/>
              <w14:ligatures w14:val="standardContextual"/>
            </w:rPr>
          </w:pPr>
          <w:hyperlink w:anchor="_Toc222521086" w:history="1">
            <w:r w:rsidRPr="00C8714A">
              <w:rPr>
                <w:rStyle w:val="Hyperlink"/>
                <w:noProof/>
              </w:rPr>
              <w:t>2.1 Motivation</w:t>
            </w:r>
            <w:r>
              <w:rPr>
                <w:noProof/>
                <w:webHidden/>
              </w:rPr>
              <w:tab/>
            </w:r>
            <w:r>
              <w:rPr>
                <w:noProof/>
                <w:webHidden/>
              </w:rPr>
              <w:fldChar w:fldCharType="begin"/>
            </w:r>
            <w:r>
              <w:rPr>
                <w:noProof/>
                <w:webHidden/>
              </w:rPr>
              <w:instrText xml:space="preserve"> PAGEREF _Toc222521086 \h </w:instrText>
            </w:r>
            <w:r>
              <w:rPr>
                <w:noProof/>
                <w:webHidden/>
              </w:rPr>
            </w:r>
            <w:r>
              <w:rPr>
                <w:noProof/>
                <w:webHidden/>
              </w:rPr>
              <w:fldChar w:fldCharType="separate"/>
            </w:r>
            <w:r w:rsidR="001B4362">
              <w:rPr>
                <w:noProof/>
                <w:webHidden/>
              </w:rPr>
              <w:t>10</w:t>
            </w:r>
            <w:r>
              <w:rPr>
                <w:noProof/>
                <w:webHidden/>
              </w:rPr>
              <w:fldChar w:fldCharType="end"/>
            </w:r>
          </w:hyperlink>
        </w:p>
        <w:p w14:paraId="58C0DB10" w14:textId="1EE4A109" w:rsidR="007E772E" w:rsidRDefault="007E772E">
          <w:pPr>
            <w:pStyle w:val="Verzeichnis2"/>
            <w:tabs>
              <w:tab w:val="right" w:leader="underscore" w:pos="8488"/>
            </w:tabs>
            <w:rPr>
              <w:rFonts w:eastAsiaTheme="minorEastAsia" w:cstheme="minorBidi"/>
              <w:smallCaps w:val="0"/>
              <w:noProof/>
              <w:kern w:val="2"/>
              <w:sz w:val="24"/>
              <w:szCs w:val="24"/>
              <w14:ligatures w14:val="standardContextual"/>
            </w:rPr>
          </w:pPr>
          <w:hyperlink w:anchor="_Toc222521087" w:history="1">
            <w:r w:rsidRPr="00C8714A">
              <w:rPr>
                <w:rStyle w:val="Hyperlink"/>
                <w:noProof/>
              </w:rPr>
              <w:t>2.2 Unternehmensakzeptanz</w:t>
            </w:r>
            <w:r>
              <w:rPr>
                <w:noProof/>
                <w:webHidden/>
              </w:rPr>
              <w:tab/>
            </w:r>
            <w:r>
              <w:rPr>
                <w:noProof/>
                <w:webHidden/>
              </w:rPr>
              <w:fldChar w:fldCharType="begin"/>
            </w:r>
            <w:r>
              <w:rPr>
                <w:noProof/>
                <w:webHidden/>
              </w:rPr>
              <w:instrText xml:space="preserve"> PAGEREF _Toc222521087 \h </w:instrText>
            </w:r>
            <w:r>
              <w:rPr>
                <w:noProof/>
                <w:webHidden/>
              </w:rPr>
            </w:r>
            <w:r>
              <w:rPr>
                <w:noProof/>
                <w:webHidden/>
              </w:rPr>
              <w:fldChar w:fldCharType="separate"/>
            </w:r>
            <w:r w:rsidR="001B4362">
              <w:rPr>
                <w:noProof/>
                <w:webHidden/>
              </w:rPr>
              <w:t>10</w:t>
            </w:r>
            <w:r>
              <w:rPr>
                <w:noProof/>
                <w:webHidden/>
              </w:rPr>
              <w:fldChar w:fldCharType="end"/>
            </w:r>
          </w:hyperlink>
        </w:p>
        <w:p w14:paraId="79A0E640" w14:textId="34E062B8" w:rsidR="007E772E" w:rsidRDefault="007E772E">
          <w:pPr>
            <w:pStyle w:val="Verzeichnis2"/>
            <w:tabs>
              <w:tab w:val="right" w:leader="underscore" w:pos="8488"/>
            </w:tabs>
            <w:rPr>
              <w:rFonts w:eastAsiaTheme="minorEastAsia" w:cstheme="minorBidi"/>
              <w:smallCaps w:val="0"/>
              <w:noProof/>
              <w:kern w:val="2"/>
              <w:sz w:val="24"/>
              <w:szCs w:val="24"/>
              <w14:ligatures w14:val="standardContextual"/>
            </w:rPr>
          </w:pPr>
          <w:hyperlink w:anchor="_Toc222521088" w:history="1">
            <w:r w:rsidRPr="00C8714A">
              <w:rPr>
                <w:rStyle w:val="Hyperlink"/>
                <w:noProof/>
              </w:rPr>
              <w:t>2.3 Zeitplan</w:t>
            </w:r>
            <w:r>
              <w:rPr>
                <w:noProof/>
                <w:webHidden/>
              </w:rPr>
              <w:tab/>
            </w:r>
            <w:r>
              <w:rPr>
                <w:noProof/>
                <w:webHidden/>
              </w:rPr>
              <w:fldChar w:fldCharType="begin"/>
            </w:r>
            <w:r>
              <w:rPr>
                <w:noProof/>
                <w:webHidden/>
              </w:rPr>
              <w:instrText xml:space="preserve"> PAGEREF _Toc222521088 \h </w:instrText>
            </w:r>
            <w:r>
              <w:rPr>
                <w:noProof/>
                <w:webHidden/>
              </w:rPr>
            </w:r>
            <w:r>
              <w:rPr>
                <w:noProof/>
                <w:webHidden/>
              </w:rPr>
              <w:fldChar w:fldCharType="separate"/>
            </w:r>
            <w:r w:rsidR="001B4362">
              <w:rPr>
                <w:noProof/>
                <w:webHidden/>
              </w:rPr>
              <w:t>11</w:t>
            </w:r>
            <w:r>
              <w:rPr>
                <w:noProof/>
                <w:webHidden/>
              </w:rPr>
              <w:fldChar w:fldCharType="end"/>
            </w:r>
          </w:hyperlink>
        </w:p>
        <w:p w14:paraId="2CAE259B" w14:textId="3F9C84D4" w:rsidR="007E772E" w:rsidRDefault="007E772E">
          <w:pPr>
            <w:pStyle w:val="Verzeichnis2"/>
            <w:tabs>
              <w:tab w:val="right" w:leader="underscore" w:pos="8488"/>
            </w:tabs>
            <w:rPr>
              <w:rFonts w:eastAsiaTheme="minorEastAsia" w:cstheme="minorBidi"/>
              <w:smallCaps w:val="0"/>
              <w:noProof/>
              <w:kern w:val="2"/>
              <w:sz w:val="24"/>
              <w:szCs w:val="24"/>
              <w14:ligatures w14:val="standardContextual"/>
            </w:rPr>
          </w:pPr>
          <w:hyperlink w:anchor="_Toc222521089" w:history="1">
            <w:r w:rsidRPr="00C8714A">
              <w:rPr>
                <w:rStyle w:val="Hyperlink"/>
                <w:noProof/>
              </w:rPr>
              <w:t>2.4 Grobgliederung</w:t>
            </w:r>
            <w:r>
              <w:rPr>
                <w:noProof/>
                <w:webHidden/>
              </w:rPr>
              <w:tab/>
            </w:r>
            <w:r>
              <w:rPr>
                <w:noProof/>
                <w:webHidden/>
              </w:rPr>
              <w:fldChar w:fldCharType="begin"/>
            </w:r>
            <w:r>
              <w:rPr>
                <w:noProof/>
                <w:webHidden/>
              </w:rPr>
              <w:instrText xml:space="preserve"> PAGEREF _Toc222521089 \h </w:instrText>
            </w:r>
            <w:r>
              <w:rPr>
                <w:noProof/>
                <w:webHidden/>
              </w:rPr>
            </w:r>
            <w:r>
              <w:rPr>
                <w:noProof/>
                <w:webHidden/>
              </w:rPr>
              <w:fldChar w:fldCharType="separate"/>
            </w:r>
            <w:r w:rsidR="001B4362">
              <w:rPr>
                <w:noProof/>
                <w:webHidden/>
              </w:rPr>
              <w:t>12</w:t>
            </w:r>
            <w:r>
              <w:rPr>
                <w:noProof/>
                <w:webHidden/>
              </w:rPr>
              <w:fldChar w:fldCharType="end"/>
            </w:r>
          </w:hyperlink>
        </w:p>
        <w:p w14:paraId="2FE564A1" w14:textId="164580B0" w:rsidR="007E772E" w:rsidRDefault="007E772E">
          <w:pPr>
            <w:pStyle w:val="Verzeichnis2"/>
            <w:tabs>
              <w:tab w:val="right" w:leader="underscore" w:pos="8488"/>
            </w:tabs>
            <w:rPr>
              <w:rFonts w:eastAsiaTheme="minorEastAsia" w:cstheme="minorBidi"/>
              <w:smallCaps w:val="0"/>
              <w:noProof/>
              <w:kern w:val="2"/>
              <w:sz w:val="24"/>
              <w:szCs w:val="24"/>
              <w14:ligatures w14:val="standardContextual"/>
            </w:rPr>
          </w:pPr>
          <w:hyperlink w:anchor="_Toc222521090" w:history="1">
            <w:r w:rsidRPr="00C8714A">
              <w:rPr>
                <w:rStyle w:val="Hyperlink"/>
                <w:noProof/>
              </w:rPr>
              <w:t>Literaturverzeichnis (Exposé)</w:t>
            </w:r>
            <w:r>
              <w:rPr>
                <w:noProof/>
                <w:webHidden/>
              </w:rPr>
              <w:tab/>
            </w:r>
            <w:r>
              <w:rPr>
                <w:noProof/>
                <w:webHidden/>
              </w:rPr>
              <w:fldChar w:fldCharType="begin"/>
            </w:r>
            <w:r>
              <w:rPr>
                <w:noProof/>
                <w:webHidden/>
              </w:rPr>
              <w:instrText xml:space="preserve"> PAGEREF _Toc222521090 \h </w:instrText>
            </w:r>
            <w:r>
              <w:rPr>
                <w:noProof/>
                <w:webHidden/>
              </w:rPr>
            </w:r>
            <w:r>
              <w:rPr>
                <w:noProof/>
                <w:webHidden/>
              </w:rPr>
              <w:fldChar w:fldCharType="separate"/>
            </w:r>
            <w:r w:rsidR="001B4362">
              <w:rPr>
                <w:noProof/>
                <w:webHidden/>
              </w:rPr>
              <w:t>14</w:t>
            </w:r>
            <w:r>
              <w:rPr>
                <w:noProof/>
                <w:webHidden/>
              </w:rPr>
              <w:fldChar w:fldCharType="end"/>
            </w:r>
          </w:hyperlink>
        </w:p>
        <w:p w14:paraId="3B687751" w14:textId="0E524C9B" w:rsidR="00F25896" w:rsidRDefault="00F25896">
          <w:r>
            <w:rPr>
              <w:b/>
              <w:bCs/>
              <w:noProof/>
            </w:rPr>
            <w:fldChar w:fldCharType="end"/>
          </w:r>
        </w:p>
      </w:sdtContent>
    </w:sdt>
    <w:p w14:paraId="3F289230" w14:textId="77777777" w:rsidR="00FB0DCE" w:rsidRDefault="00FB0DCE" w:rsidP="005264E7"/>
    <w:p w14:paraId="6286A365" w14:textId="77777777" w:rsidR="00FB0DCE" w:rsidRDefault="00FB0DCE" w:rsidP="005264E7"/>
    <w:p w14:paraId="7EF3C9B5" w14:textId="77777777" w:rsidR="00FB0DCE" w:rsidRDefault="00FB0DCE" w:rsidP="005264E7"/>
    <w:p w14:paraId="0C18A92B" w14:textId="77777777" w:rsidR="00FB0DCE" w:rsidRDefault="00FB0DCE" w:rsidP="005264E7"/>
    <w:p w14:paraId="6C053AD6" w14:textId="77777777" w:rsidR="00FB0DCE" w:rsidRDefault="00FB0DCE" w:rsidP="005264E7">
      <w:r>
        <w:br w:type="page"/>
      </w:r>
    </w:p>
    <w:p w14:paraId="6768ED54" w14:textId="015619B7" w:rsidR="003A6744" w:rsidRPr="003D1A74" w:rsidRDefault="003A6744" w:rsidP="003D1A74">
      <w:pPr>
        <w:pStyle w:val="berschrift1"/>
      </w:pPr>
      <w:bookmarkStart w:id="0" w:name="_Toc222521077"/>
      <w:proofErr w:type="gramStart"/>
      <w:r w:rsidRPr="003D1A74">
        <w:lastRenderedPageBreak/>
        <w:t>EXPOS</w:t>
      </w:r>
      <w:r w:rsidR="003D1A74" w:rsidRPr="003D1A74">
        <w:t>É</w:t>
      </w:r>
      <w:proofErr w:type="gramEnd"/>
      <w:r w:rsidR="003D1A74" w:rsidRPr="003D1A74">
        <w:t xml:space="preserve"> TEIL 1</w:t>
      </w:r>
      <w:bookmarkEnd w:id="0"/>
    </w:p>
    <w:p w14:paraId="2CAD997E" w14:textId="70D99D00" w:rsidR="009D3F39" w:rsidRPr="005264E7" w:rsidRDefault="00FB0DCE" w:rsidP="005264E7">
      <w:pPr>
        <w:pStyle w:val="berschrift1"/>
      </w:pPr>
      <w:bookmarkStart w:id="1" w:name="_Toc222521078"/>
      <w:r w:rsidRPr="005264E7">
        <w:t xml:space="preserve">1.1. </w:t>
      </w:r>
      <w:r w:rsidR="009D3F39" w:rsidRPr="005264E7">
        <w:t>Arbeitstitel</w:t>
      </w:r>
      <w:bookmarkEnd w:id="1"/>
    </w:p>
    <w:p w14:paraId="0E1486B7" w14:textId="577A8151" w:rsidR="009D3F39" w:rsidRDefault="00F25896" w:rsidP="005264E7">
      <w:r>
        <w:t>„</w:t>
      </w:r>
      <w:r w:rsidR="009D3F39" w:rsidRPr="005264E7">
        <w:t xml:space="preserve">Entwicklung einer Enterprise-Referenzarchitektur für Generative KI: Cloud-native </w:t>
      </w:r>
      <w:proofErr w:type="spellStart"/>
      <w:r w:rsidR="00C36C83">
        <w:t>GenAIOps</w:t>
      </w:r>
      <w:proofErr w:type="spellEnd"/>
      <w:r w:rsidR="009D3F39" w:rsidRPr="005264E7">
        <w:t xml:space="preserve"> und automatisierte Quality Gates im Kontext des EU AI Act</w:t>
      </w:r>
      <w:r>
        <w:t>.“</w:t>
      </w:r>
    </w:p>
    <w:p w14:paraId="78BE7730" w14:textId="77777777" w:rsidR="00403E92" w:rsidRDefault="00403E92" w:rsidP="0093631D"/>
    <w:p w14:paraId="34343A75" w14:textId="77777777" w:rsidR="00403E92" w:rsidRDefault="00403E92" w:rsidP="0093631D">
      <w:r>
        <w:t>1 Einleitung</w:t>
      </w:r>
    </w:p>
    <w:p w14:paraId="25753DC3" w14:textId="48D408A7" w:rsidR="00403E92" w:rsidRDefault="00403E92" w:rsidP="0093631D">
      <w:r w:rsidRPr="00403E92">
        <w:t>Die rasante Adaption generativer KI (</w:t>
      </w:r>
      <w:proofErr w:type="spellStart"/>
      <w:r w:rsidRPr="00403E92">
        <w:t>GenAI</w:t>
      </w:r>
      <w:proofErr w:type="spellEnd"/>
      <w:r w:rsidRPr="00403E92">
        <w:t xml:space="preserve">) und Large Language Models (LLMs) stellt Unternehmen vor neue operative Herausforderungen. Während klassische </w:t>
      </w:r>
      <w:proofErr w:type="spellStart"/>
      <w:r w:rsidRPr="00403E92">
        <w:t>MLOps</w:t>
      </w:r>
      <w:proofErr w:type="spellEnd"/>
      <w:r w:rsidRPr="00403E92">
        <w:t>-Verfahren für prädiktive Modelle etabliert sind, fehlt es an End-</w:t>
      </w:r>
      <w:proofErr w:type="spellStart"/>
      <w:r w:rsidRPr="00403E92">
        <w:t>to</w:t>
      </w:r>
      <w:proofErr w:type="spellEnd"/>
      <w:r w:rsidRPr="00403E92">
        <w:t>-End-Frameworks für den Lebenszyklus generativer KI („</w:t>
      </w:r>
      <w:proofErr w:type="spellStart"/>
      <w:r w:rsidRPr="00403E92">
        <w:t>LLMOps</w:t>
      </w:r>
      <w:proofErr w:type="spellEnd"/>
      <w:r w:rsidRPr="00403E92">
        <w:t>“). Bestehende CI/CD-Pipelines decken die spezifischen Risiken stochastischer Modelle (z. B. Halluzinationen) nicht ab</w:t>
      </w:r>
      <w:r>
        <w:t>.</w:t>
      </w:r>
      <w:r w:rsidR="00F92981">
        <w:t xml:space="preserve"> </w:t>
      </w:r>
    </w:p>
    <w:p w14:paraId="4937015F" w14:textId="4B1DE94A" w:rsidR="00F92981" w:rsidRPr="009D3F39" w:rsidRDefault="00F92981" w:rsidP="0093631D">
      <w:r w:rsidRPr="00F92981">
        <w:t>Die Dringlichkeit dieser Forschungslücke wird durch einen übergeordneten industriepolitischen Kontext verstärkt: Die Europäische Union hat in den vergangenen Jahren systematisch auf die strategische Abhängigkeit europäischer Unternehmen von US-amerikanischen Cloud-Infrastrukturanbietern hingewiesen und entsprechende Gegenmaßnahmen eingeleitet — von der GAIA-X-Initiative bis zur Europäischen Datenstrategie (</w:t>
      </w:r>
      <w:proofErr w:type="spellStart"/>
      <w:r w:rsidRPr="00F92981">
        <w:t>Blancato</w:t>
      </w:r>
      <w:proofErr w:type="spellEnd"/>
      <w:r w:rsidRPr="00F92981">
        <w:t>, 2024, S. 12–14). Diese Forderung nach technologischer und datenbezogener Souveränität ist dabei nicht primär politischer Natur, sondern hat unmittelbare regulatorische Konsequenzen: Der EU AI Act verpflichtet Anbieter und Betreiber von Hochrisiko-KI-Systemen zur nachweisbaren Daten-</w:t>
      </w:r>
      <w:proofErr w:type="spellStart"/>
      <w:r w:rsidRPr="00F92981">
        <w:t>Governance</w:t>
      </w:r>
      <w:proofErr w:type="spellEnd"/>
      <w:r w:rsidRPr="00F92981">
        <w:t xml:space="preserve"> und Protokollierung über den gesamten Systemlebenszyklus (Art. 10, 12), was impliziert, dass die zugrundeliegende Infrastruktur </w:t>
      </w:r>
      <w:proofErr w:type="spellStart"/>
      <w:r w:rsidRPr="00F92981">
        <w:t>auditierbar</w:t>
      </w:r>
      <w:proofErr w:type="spellEnd"/>
      <w:r w:rsidRPr="00F92981">
        <w:t xml:space="preserve">, jurisdiktionskonform und kontrollierbar sein muss. Bestehende </w:t>
      </w:r>
      <w:proofErr w:type="spellStart"/>
      <w:r w:rsidRPr="00F92981">
        <w:t>GenAIOps</w:t>
      </w:r>
      <w:proofErr w:type="spellEnd"/>
      <w:r w:rsidRPr="00F92981">
        <w:t xml:space="preserve">-Frameworks adressieren diese </w:t>
      </w:r>
      <w:proofErr w:type="spellStart"/>
      <w:r w:rsidRPr="00F92981">
        <w:t>Deployment</w:t>
      </w:r>
      <w:proofErr w:type="spellEnd"/>
      <w:r w:rsidRPr="00F92981">
        <w:t>-Dimension jedoch nicht — sie sind konzeptionell weitgehend auf US-</w:t>
      </w:r>
      <w:proofErr w:type="spellStart"/>
      <w:r w:rsidRPr="00F92981">
        <w:t>Hyperscaler</w:t>
      </w:r>
      <w:proofErr w:type="spellEnd"/>
      <w:r w:rsidRPr="00F92981">
        <w:t xml:space="preserve">-Umgebungen ausgerichtet und lassen offen, wie eine </w:t>
      </w:r>
      <w:proofErr w:type="spellStart"/>
      <w:r w:rsidRPr="00F92981">
        <w:t>cloud</w:t>
      </w:r>
      <w:proofErr w:type="spellEnd"/>
      <w:r w:rsidRPr="00F92981">
        <w:t xml:space="preserve">-native Betriebsarchitektur unter Souveränitätsbedingungen realisiert werden kann. Die vorliegende Arbeit setzt genau an dieser Schnittstelle an: Sie entwickelt eine Enterprise-Referenzarchitektur, die </w:t>
      </w:r>
      <w:proofErr w:type="spellStart"/>
      <w:r w:rsidRPr="00F92981">
        <w:t>cloud</w:t>
      </w:r>
      <w:proofErr w:type="spellEnd"/>
      <w:r w:rsidRPr="00F92981">
        <w:t xml:space="preserve">-native </w:t>
      </w:r>
      <w:proofErr w:type="spellStart"/>
      <w:r w:rsidRPr="00F92981">
        <w:t>GenAIOps</w:t>
      </w:r>
      <w:proofErr w:type="spellEnd"/>
      <w:r w:rsidRPr="00F92981">
        <w:t xml:space="preserve">-Praktiken mit automatisierten Quality Gates verbindet und dabei explizit </w:t>
      </w:r>
      <w:proofErr w:type="spellStart"/>
      <w:r w:rsidRPr="00F92981">
        <w:t>deployment</w:t>
      </w:r>
      <w:proofErr w:type="spellEnd"/>
      <w:r w:rsidRPr="00F92981">
        <w:t>-agnostisch — das heißt auf Public Cloud, Sovereign Cloud und On-</w:t>
      </w:r>
      <w:proofErr w:type="spellStart"/>
      <w:r w:rsidRPr="00F92981">
        <w:t>Premises</w:t>
      </w:r>
      <w:proofErr w:type="spellEnd"/>
      <w:r w:rsidRPr="00F92981">
        <w:t>-Umgebungen gleichermaßen anwendbar — konzipiert ist.</w:t>
      </w:r>
    </w:p>
    <w:p w14:paraId="1430F046" w14:textId="4F423362" w:rsidR="005C5528" w:rsidRPr="006A0C61" w:rsidRDefault="005264E7" w:rsidP="0073761D">
      <w:pPr>
        <w:pStyle w:val="berschrift2"/>
      </w:pPr>
      <w:bookmarkStart w:id="2" w:name="_Toc222521079"/>
      <w:r w:rsidRPr="00383884">
        <w:t>1.2 Problemstellung</w:t>
      </w:r>
      <w:r w:rsidR="006A0C61">
        <w:t xml:space="preserve"> - </w:t>
      </w:r>
      <w:r w:rsidR="005C5528" w:rsidRPr="005C5528">
        <w:t>Operative und konzeptionelle Lücken im Enterprise-Betrieb generativer KI-Systeme</w:t>
      </w:r>
      <w:bookmarkEnd w:id="2"/>
    </w:p>
    <w:p w14:paraId="347E5EF5" w14:textId="53E3013D" w:rsidR="005C5528" w:rsidRDefault="005C5528" w:rsidP="005C5528">
      <w:r>
        <w:t>Der produktive Betrieb generativer KI-Systeme</w:t>
      </w:r>
      <w:r w:rsidR="007F324E">
        <w:t>,</w:t>
      </w:r>
      <w:r>
        <w:t xml:space="preserve"> insbesondere großer Sprachmodelle (LLMs) und darauf aufbauender Retrieval-</w:t>
      </w:r>
      <w:proofErr w:type="spellStart"/>
      <w:r>
        <w:t>Augmented</w:t>
      </w:r>
      <w:proofErr w:type="spellEnd"/>
      <w:r>
        <w:t xml:space="preserve">-Generation-(RAG-)Architekturen stellt Unternehmen vor qualitativ neue Herausforderungen, die mit etablierten </w:t>
      </w:r>
      <w:proofErr w:type="spellStart"/>
      <w:r>
        <w:t>MLOps</w:t>
      </w:r>
      <w:proofErr w:type="spellEnd"/>
      <w:r>
        <w:t>-</w:t>
      </w:r>
      <w:r>
        <w:lastRenderedPageBreak/>
        <w:t xml:space="preserve">Frameworks nur unzureichend adressiert werden können. Dieser Befund lässt sich </w:t>
      </w:r>
      <w:r w:rsidR="004C7701">
        <w:fldChar w:fldCharType="begin"/>
      </w:r>
      <w:r w:rsidR="00622A94">
        <w:instrText xml:space="preserve"> ADDIN ZOTERO_ITEM CSL_CITATION {"citationID":"7ANcoFBv","properties":{"unsorted":false,"formattedCitation":"(Sinha et al., 2024)","plainCitation":"(Sinha et al., 2024)","noteIndex":0},"citationItems":[{"id":11,"uris":["http://zotero.org/users/19646628/items/FQ6QT9CB"],"itemData":{"id":11,"type":"paper-conference","abstract":"Abstract—Operationalizing large language models is unlike\ntraditional AI solutioning. As the vestiges of the MLOps\nparadigm serve as a reminder of the sophistication that\nsurfaces at scale, Generative AI, while mitigating a few of\nthose challenges, brings a few of its own. This is where\nLLMOps (Large Language Model Operations) comes into\nthe picture. LLMOps is a subset of FMOps (Foundation\nModel Operations) that builds on the principles of MLOps\n(Machine Learning Operations) and helps enterprises\ndeploy, monitor, and retrain their LLMs seamlessly. This\npaper provides a comprehensive definition of LLMOps and\na robust framework and highlights best practices accrued\nthrough our experience building solutions in different\ndomains. Finally, this work attempts to provide guidance\nfor AI practitioners who want to operationalize their GenAI\napplications seamlessly","container-title":"2024 International Conference on Electrical, Computer and Energy Technologies (ICECET","DOI":"10.1109/ICECET61485.2024.10698359","event-title":"2024 International Conference on Electrical, Computer and Energy Technologies (ICECET)","ISBN":"979-8-3503-9591-4","license":"https://doi.org/10.15223/policy-029","page":"1-6","publisher":"IEEE","publisher-place":"Sydney, Australia","source":"DOI.org (Crossref)","title":"LLMOps: Definitions, Framework and Best Practices","title-short":"LLMOps","URL":"https://ieeexplore.ieee.org/document/10698359/","author":[{"family":"Sinha","given":"Megha"},{"family":"Menon","given":"Sreekanth"},{"family":"Sagar","given":"Ram"}],"accessed":{"date-parts":[["2026",2,15]]},"issued":{"date-parts":[["2024",7,25]]}}}],"schema":"https://github.com/citation-style-language/schema/raw/master/csl-citation.json"} </w:instrText>
      </w:r>
      <w:r w:rsidR="004C7701">
        <w:fldChar w:fldCharType="separate"/>
      </w:r>
      <w:r w:rsidR="00622A94">
        <w:rPr>
          <w:noProof/>
        </w:rPr>
        <w:t>(Sinha et al., 2024)</w:t>
      </w:r>
      <w:r w:rsidR="004C7701">
        <w:fldChar w:fldCharType="end"/>
      </w:r>
      <w:r w:rsidR="002804E1">
        <w:t xml:space="preserve"> </w:t>
      </w:r>
      <w:r>
        <w:t>entlang dreier interdependenter Problemdimensionen konkretisieren.</w:t>
      </w:r>
    </w:p>
    <w:p w14:paraId="6F0DB950" w14:textId="7A2F5DF1" w:rsidR="005C5528" w:rsidRPr="003C06E8" w:rsidRDefault="003A0A99" w:rsidP="003C06E8">
      <w:pPr>
        <w:pStyle w:val="berschrift3"/>
      </w:pPr>
      <w:bookmarkStart w:id="3" w:name="_Toc222521080"/>
      <w:r w:rsidRPr="003C06E8">
        <w:rPr>
          <w:rStyle w:val="Fett"/>
          <w:b w:val="0"/>
          <w:bCs w:val="0"/>
        </w:rPr>
        <w:t xml:space="preserve">1.2.1 </w:t>
      </w:r>
      <w:r w:rsidR="005C5528" w:rsidRPr="003C06E8">
        <w:rPr>
          <w:rStyle w:val="Fett"/>
          <w:b w:val="0"/>
          <w:bCs w:val="0"/>
        </w:rPr>
        <w:t xml:space="preserve">Erste Problemdimension: Fragmentierung bestehender </w:t>
      </w:r>
      <w:proofErr w:type="spellStart"/>
      <w:r w:rsidR="005C5528" w:rsidRPr="003C06E8">
        <w:rPr>
          <w:rStyle w:val="Fett"/>
          <w:b w:val="0"/>
          <w:bCs w:val="0"/>
        </w:rPr>
        <w:t>Operationalisierungs</w:t>
      </w:r>
      <w:proofErr w:type="spellEnd"/>
      <w:r w:rsidR="007F324E" w:rsidRPr="003C06E8">
        <w:rPr>
          <w:rStyle w:val="Fett"/>
          <w:b w:val="0"/>
          <w:bCs w:val="0"/>
        </w:rPr>
        <w:t>-</w:t>
      </w:r>
      <w:r w:rsidR="005C5528" w:rsidRPr="003C06E8">
        <w:rPr>
          <w:rStyle w:val="Fett"/>
          <w:b w:val="0"/>
          <w:bCs w:val="0"/>
        </w:rPr>
        <w:t>frameworks</w:t>
      </w:r>
      <w:bookmarkEnd w:id="3"/>
    </w:p>
    <w:p w14:paraId="7C8B29DF" w14:textId="40910F64" w:rsidR="005C5528" w:rsidRDefault="005C5528" w:rsidP="005C5528">
      <w:r>
        <w:t xml:space="preserve">Traditionelle </w:t>
      </w:r>
      <w:proofErr w:type="spellStart"/>
      <w:r>
        <w:t>MLOps</w:t>
      </w:r>
      <w:proofErr w:type="spellEnd"/>
      <w:r>
        <w:t xml:space="preserve">-Ansätze wurden für </w:t>
      </w:r>
      <w:proofErr w:type="spellStart"/>
      <w:r>
        <w:t>diskriminative</w:t>
      </w:r>
      <w:proofErr w:type="spellEnd"/>
      <w:r>
        <w:t xml:space="preserve"> Modelle mit stabilen, strukturierten Datenpipelines konzipiert. Generative KI-Systeme unterscheiden sich fundamental durch probabilistisches Ausgabeverhalten, stochastische Qualitätsschwankungen, </w:t>
      </w:r>
      <w:proofErr w:type="spellStart"/>
      <w:r>
        <w:t>Promptabhängigkeit</w:t>
      </w:r>
      <w:proofErr w:type="spellEnd"/>
      <w:r>
        <w:t xml:space="preserve"> sowie erhöhte Anforderungen an </w:t>
      </w:r>
      <w:proofErr w:type="spellStart"/>
      <w:r>
        <w:t>Observability</w:t>
      </w:r>
      <w:proofErr w:type="spellEnd"/>
      <w:r>
        <w:t xml:space="preserve"> und Sicherheitsbewertung</w:t>
      </w:r>
      <w:r w:rsidR="00A63577">
        <w:t xml:space="preserve"> </w:t>
      </w:r>
      <w:r w:rsidR="00A63577">
        <w:fldChar w:fldCharType="begin"/>
      </w:r>
      <w:r w:rsidR="0041523E">
        <w:instrText xml:space="preserve"> ADDIN ZOTERO_ITEM CSL_CITATION {"citationID":"wPJVEiBj","properties":{"unsorted":false,"formattedCitation":"(Sinha et al., 2024, S. 1\\uc0\\u8211{}2)","plainCitation":"(Sinha et al., 2024, S. 1–2)","noteIndex":0},"citationItems":[{"id":11,"uris":["http://zotero.org/users/19646628/items/FQ6QT9CB"],"itemData":{"id":11,"type":"paper-conference","abstract":"Abstract—Operationalizing large language models is unlike\ntraditional AI solutioning. As the vestiges of the MLOps\nparadigm serve as a reminder of the sophistication that\nsurfaces at scale, Generative AI, while mitigating a few of\nthose challenges, brings a few of its own. This is where\nLLMOps (Large Language Model Operations) comes into\nthe picture. LLMOps is a subset of FMOps (Foundation\nModel Operations) that builds on the principles of MLOps\n(Machine Learning Operations) and helps enterprises\ndeploy, monitor, and retrain their LLMs seamlessly. This\npaper provides a comprehensive definition of LLMOps and\na robust framework and highlights best practices accrued\nthrough our experience building solutions in different\ndomains. Finally, this work attempts to provide guidance\nfor AI practitioners who want to operationalize their GenAI\napplications seamlessly","container-title":"2024 International Conference on Electrical, Computer and Energy Technologies (ICECET","DOI":"10.1109/ICECET61485.2024.10698359","event-title":"2024 International Conference on Electrical, Computer and Energy Technologies (ICECET)","ISBN":"979-8-3503-9591-4","license":"https://doi.org/10.15223/policy-029","page":"1-6","publisher":"IEEE","publisher-place":"Sydney, Australia","source":"DOI.org (Crossref)","title":"LLMOps: Definitions, Framework and Best Practices","title-short":"LLMOps","URL":"https://ieeexplore.ieee.org/document/10698359/","author":[{"family":"Sinha","given":"Megha"},{"family":"Menon","given":"Sreekanth"},{"family":"Sagar","given":"Ram"}],"accessed":{"date-parts":[["2026",2,15]]},"issued":{"date-parts":[["2024",7,25]]}},"locator":"1-2","label":"page"}],"schema":"https://github.com/citation-style-language/schema/raw/master/csl-citation.json"} </w:instrText>
      </w:r>
      <w:r w:rsidR="00A63577">
        <w:fldChar w:fldCharType="separate"/>
      </w:r>
      <w:r w:rsidR="0041523E" w:rsidRPr="0041523E">
        <w:rPr>
          <w:szCs w:val="24"/>
          <w:lang w:eastAsia="en-US"/>
          <w14:ligatures w14:val="standardContextual"/>
        </w:rPr>
        <w:t>(Sinha et al., 2024, S. 1–2)</w:t>
      </w:r>
      <w:r w:rsidR="00A63577">
        <w:fldChar w:fldCharType="end"/>
      </w:r>
      <w:r w:rsidR="006B452A">
        <w:t xml:space="preserve">. </w:t>
      </w:r>
      <w:r>
        <w:t xml:space="preserve">Bestehende Frameworks adressieren dabei typischerweise isolierte Lebenszyklusphasen — etwa Training, </w:t>
      </w:r>
      <w:proofErr w:type="spellStart"/>
      <w:r>
        <w:t>Deployment</w:t>
      </w:r>
      <w:proofErr w:type="spellEnd"/>
      <w:r>
        <w:t xml:space="preserve"> oder Monitoring — ohne eine integrierte End-</w:t>
      </w:r>
      <w:proofErr w:type="spellStart"/>
      <w:r>
        <w:t>to</w:t>
      </w:r>
      <w:proofErr w:type="spellEnd"/>
      <w:r>
        <w:t>-End-</w:t>
      </w:r>
      <w:proofErr w:type="spellStart"/>
      <w:r>
        <w:t>Governance</w:t>
      </w:r>
      <w:proofErr w:type="spellEnd"/>
      <w:r>
        <w:t xml:space="preserve"> zu ermöglichen. </w:t>
      </w:r>
      <w:r w:rsidR="005B7C42" w:rsidRPr="005B7C42">
        <w:t xml:space="preserve">Beispielsweise stellen Kun Wang et al. fest, dass aktuelle Arbeiten zur LLM-Sicherheit sich auf einzelne Phasen fokussieren, anstatt eine kohärente Betrachtung des gesamten Systemlebenszyklus zu leisten </w:t>
      </w:r>
      <w:r w:rsidR="009E5834">
        <w:fldChar w:fldCharType="begin"/>
      </w:r>
      <w:r w:rsidR="009E5834">
        <w:instrText xml:space="preserve"> ADDIN ZOTERO_ITEM CSL_CITATION {"citationID":"bH4gN70e","properties":{"unsorted":false,"formattedCitation":"(Wang et al., 2025, S. 1)","plainCitation":"(Wang et al., 2025, S. 1)","noteIndex":0},"citationItems":[{"id":14,"uris":["http://zotero.org/users/19646628/items/7PJ9IGLA"],"itemData":{"id":14,"type":"article","abstract":"The remarkable success of Large Language Models (LLMs) has illuminated a promising pathway toward achieving Artificial General Intelligence for both academic and industrial communities, owing to their unprecedented performance across various applications. As LLMs continue to gain prominence in both research and commercial domains, their security and safety implications have become a growing concern, not only for researchers and corporations but also for every nation. Currently, existing surveys on LLM safety primarily focus on specific stages of the LLM lifecycle, e.g., deployment phase or fine-tuning phase, lacking a comprehensive understanding of the entire \"lifechain\" of LLMs. To address this gap, this paper introduces, for the first time, the concept of \"full-stack\" safety to systematically consider safety issues throughout the entire process of LLM training, deployment, and eventual commercialization. Compared to the off-the-shelf LLM safety surveys, our work demonstrates several distinctive advantages: (I) Comprehensive Perspective. We define the complete LLM lifecycle as encompassing data preparation, pre-training, post-training, deployment and final commercialization. To our knowledge, this represents the first safety survey to encompass the entire lifecycle of LLMs. (II) Extensive Literature Support. Our research is grounded in an exhaustive review of over 800+ papers, ensuring comprehensive coverage and systematic organization of security issues within a more holistic understanding. (III) Unique Insights. Through systematic literature analysis, we have developed reliable roadmaps and perspectives for each chapter. Our work identifies promising research directions, including safety in data generation, alignment techniques, model editing, and LLM-based agent systems. These insights provide valuable guidance for researchers pursuing future work in this field.","DOI":"10.48550/ARXIV.2504.15585","license":"Creative Commons Attribution 4.0 International","note":"version: 4","publisher":"arXiv","source":"DOI.org (Datacite)","title":"A Comprehensive Survey in LLM(-Agent) Full Stack Safety: Data, Training and Deployment","title-short":"A Comprehensive Survey in LLM(-Agent) Full Stack Safety","URL":"https://arxiv.org/abs/2504.15585","author":[{"family":"Wang","given":"Kun"},{"family":"Zhang","given":"Guibin"},{"family":"Zhou","given":"Zhenhong"},{"family":"Wu","given":"Jiahao"},{"family":"Yu","given":"Miao"},{"family":"Zhao","given":"Shiqian"},{"family":"Yin","given":"Chenlong"},{"family":"Fu","given":"Jinhu"},{"family":"Yan","given":"Yibo"},{"family":"Luo","given":"Hanjun"},{"family":"Lin","given":"Liang"},{"family":"Xu","given":"Zhihao"},{"family":"Lu","given":"Haolang"},{"family":"Cao","given":"Xinye"},{"family":"Zhou","given":"Xinyun"},{"family":"Jin","given":"Weifei"},{"family":"Meng","given":"Fanci"},{"family":"Xu","given":"Shicheng"},{"family":"Mao","given":"Junyuan"},{"family":"Wang","given":"Yu"},{"family":"Wu","given":"Hao"},{"family":"Wang","given":"Minghe"},{"family":"Zhang","given":"Fan"},{"family":"Fang","given":"Junfeng"},{"family":"Qu","given":"Wenjie"},{"family":"Liu","given":"Yue"},{"family":"Liu","given":"Chengwei"},{"family":"Zhang","given":"Yifan"},{"family":"Li","given":"Qiankun"},{"family":"Guo","given":"Chongye"},{"family":"Qin","given":"Yalan"},{"family":"Fan","given":"Zhaoxin"},{"family":"Wang","given":"Kai"},{"family":"Ding","given":"Yi"},{"family":"Hong","given":"Donghai"},{"family":"Ji","given":"Jiaming"},{"family":"Lai","given":"Yingxin"},{"family":"Yu","given":"Zitong"},{"family":"Li","given":"Xinfeng"},{"family":"Jiang","given":"Yifan"},{"family":"Li","given":"Yanhui"},{"family":"Deng","given":"Xinyu"},{"family":"Wu","given":"Junlin"},{"family":"Wang","given":"Dongxia"},{"family":"Huang","given":"Yihao"},{"family":"Guo","given":"Yufei"},{"family":"Huang","given":"Jen-tse"},{"family":"Wang","given":"Qiufeng"},{"family":"Jin","given":"Xiaolong"},{"family":"Wang","given":"Wenxuan"},{"family":"Liu","given":"Dongrui"},{"family":"Yue","given":"Yanwei"},{"family":"Huang","given":"Wenke"},{"family":"Wan","given":"Guancheng"},{"family":"Chang","given":"Heng"},{"family":"Li","given":"Tianlin"},{"family":"Yu","given":"Yi"},{"family":"Li","given":"Chenghao"},{"family":"Li","given":"Jiawei"},{"family":"Bai","given":"Lei"},{"family":"Zhang","given":"Jie"},{"family":"Guo","given":"Qing"},{"family":"Wang","given":"Jingyi"},{"family":"Chen","given":"Tianlong"},{"family":"Zhou","given":"Joey Tianyi"},{"family":"Jia","given":"Xiaojun"},{"family":"Sun","given":"Weisong"},{"family":"Wu","given":"Cong"},{"family":"Chen","given":"Jing"},{"family":"Hu","given":"Xuming"},{"family":"Li","given":"Yiming"},{"family":"Wang","given":"Xiao"},{"family":"Zhang","given":"Ningyu"},{"family":"Tuan","given":"Luu Anh"},{"family":"Xu","given":"Guowen"},{"family":"Zhang","given":"Jiaheng"},{"family":"Zhang","given":"Tianwei"},{"family":"Ma","given":"Xingjun"},{"family":"Gu","given":"Jindong"},{"family":"Pang","given":"Liang"},{"family":"Wang","given":"Xiang"},{"family":"An","given":"Bo"},{"family":"Sun","given":"Jun"},{"family":"Bansal","given":"Mohit"},{"family":"Pan","given":"Shirui"},{"family":"Lyu","given":"Lingjuan"},{"family":"Elovici","given":"Yuval"},{"family":"Kailkhura","given":"Bhavya"},{"family":"Yang","given":"Yaodong"},{"family":"Li","given":"Hongwei"},{"family":"Xu","given":"Wenyuan"},{"family":"Sun","given":"Yizhou"},{"family":"Wang","given":"Wei"},{"family":"Li","given":"Qing"},{"family":"Tang","given":"Ke"},{"family":"Jiang","given":"Yu-Gang"},{"family":"Juefei-Xu","given":"Felix"},{"family":"Xiong","given":"Hui"},{"family":"Wang","given":"Xiaofeng"},{"family":"Tao","given":"Dacheng"},{"family":"Yu","given":"Philip S."},{"family":"Wen","given":"Qingsong"},{"family":"Liu","given":"Yang"}],"accessed":{"date-parts":[["2026",2,15]]},"issued":{"date-parts":[["2025"]]}},"locator":"1","label":"page"}],"schema":"https://github.com/citation-style-language/schema/raw/master/csl-citation.json"} </w:instrText>
      </w:r>
      <w:r w:rsidR="009E5834">
        <w:fldChar w:fldCharType="separate"/>
      </w:r>
      <w:r w:rsidR="009E5834">
        <w:rPr>
          <w:noProof/>
        </w:rPr>
        <w:t>(Wang et al., 2025, S. 1)</w:t>
      </w:r>
      <w:r w:rsidR="009E5834">
        <w:fldChar w:fldCharType="end"/>
      </w:r>
      <w:r w:rsidR="009E5834">
        <w:t xml:space="preserve">. </w:t>
      </w:r>
      <w:r>
        <w:t>Diaz-De-</w:t>
      </w:r>
      <w:proofErr w:type="spellStart"/>
      <w:r>
        <w:t>Arcaya</w:t>
      </w:r>
      <w:proofErr w:type="spellEnd"/>
      <w:r>
        <w:t xml:space="preserve"> et al</w:t>
      </w:r>
      <w:r w:rsidR="00FD7E77">
        <w:t xml:space="preserve">. </w:t>
      </w:r>
      <w:r>
        <w:t xml:space="preserve">konstatieren entsprechend, dass die akademische Literatur eine durchgehende Abdeckung der </w:t>
      </w:r>
      <w:proofErr w:type="spellStart"/>
      <w:r>
        <w:t>LLMOps</w:t>
      </w:r>
      <w:proofErr w:type="spellEnd"/>
      <w:r>
        <w:t>-Phasen vermissen lässt</w:t>
      </w:r>
      <w:r w:rsidR="00FD7E77">
        <w:t xml:space="preserve"> </w:t>
      </w:r>
      <w:r w:rsidR="00FD7E77">
        <w:fldChar w:fldCharType="begin"/>
      </w:r>
      <w:r w:rsidR="00DA526F">
        <w:instrText xml:space="preserve"> ADDIN ZOTERO_ITEM CSL_CITATION {"citationID":"MJFMvQwz","properties":{"unsorted":false,"formattedCitation":"(Diaz-De-Arcaya et al., 2024, S. 3)","plainCitation":"(Diaz-De-Arcaya et al., 2024, S. 3)","noteIndex":0},"citationItems":[{"id":10,"uris":["http://zotero.org/users/19646628/items/9EA2EHZK"],"itemData":{"id":10,"type":"paper-conference","container-title":"2024 9th International Conference on Smart and Sustainable Technologies (SpliTech)","DOI":"10.23919/SpliTech61897.2024.10612341","event-title":"2024 9th International Conference on Smart and Sustainable Technologies (SpliTech)","ISBN":"978-953-290-135-1","license":"https://doi.org/10.15223/policy-029","page":"1-4","publisher":"IEEE","publisher-place":"Bol and Split, Croatia","source":"DOI.org (Crossref)","title":"Large Language Model Operations (LLMOps): Definition, Challenges, and Lifecycle Management","title-short":"Large Language Model Operations (LLMOps)","URL":"https://ieeexplore.ieee.org/document/10612341/","author":[{"family":"Diaz-De-Arcaya","given":"Josu"},{"family":"López-De-Armentia","given":"Juan"},{"family":"Miñón","given":"Raúl"},{"family":"Ojanguren","given":"Iker Lasa"},{"family":"Torre-Bastida","given":"Ana I."}],"accessed":{"date-parts":[["2026",2,15]]},"issued":{"date-parts":[["2024",6,25]]}},"locator":"3","label":"page"}],"schema":"https://github.com/citation-style-language/schema/raw/master/csl-citation.json"} </w:instrText>
      </w:r>
      <w:r w:rsidR="00FD7E77">
        <w:fldChar w:fldCharType="separate"/>
      </w:r>
      <w:r w:rsidR="00DA526F">
        <w:rPr>
          <w:noProof/>
        </w:rPr>
        <w:t>(Diaz-De-Arcaya et al., 2024, S. 3)</w:t>
      </w:r>
      <w:r w:rsidR="00FD7E77">
        <w:fldChar w:fldCharType="end"/>
      </w:r>
      <w:r w:rsidR="00DA526F">
        <w:t>.</w:t>
      </w:r>
      <w:r>
        <w:t xml:space="preserve"> Die Konsequenz dieser Fragmentierung ist in der unternehmerischen Praxis messbar: </w:t>
      </w:r>
      <w:r w:rsidRPr="003D1A74">
        <w:t>Stone et al. berichten, dass 55 % der befragten Unternehmen keine produktiven Modelle betreiben und 18 % mehr als 90 Tage für die Bereitstellung benötigen</w:t>
      </w:r>
      <w:r w:rsidR="008F37C5" w:rsidRPr="003D1A74">
        <w:t xml:space="preserve">, </w:t>
      </w:r>
      <w:r w:rsidRPr="003D1A74">
        <w:t xml:space="preserve">ein </w:t>
      </w:r>
      <w:r w:rsidR="00F474A7" w:rsidRPr="003D1A74">
        <w:t>Beobachtung</w:t>
      </w:r>
      <w:r w:rsidRPr="003D1A74">
        <w:t>, d</w:t>
      </w:r>
      <w:r w:rsidR="00F474A7" w:rsidRPr="003D1A74">
        <w:t>ie</w:t>
      </w:r>
      <w:r w:rsidRPr="003D1A74">
        <w:t xml:space="preserve"> auf systematische operative Defizite in bestehenden Ansätzen hindeutet, auch wenn Einzelfallgeneralisierungen methodisch mit Vorsicht zu bewerten sind</w:t>
      </w:r>
      <w:r w:rsidR="008F37C5" w:rsidRPr="003D1A74">
        <w:t xml:space="preserve"> </w:t>
      </w:r>
      <w:r w:rsidR="008F37C5" w:rsidRPr="003D1A74">
        <w:fldChar w:fldCharType="begin"/>
      </w:r>
      <w:r w:rsidR="008F37C5" w:rsidRPr="003D1A74">
        <w:instrText xml:space="preserve"> ADDIN ZOTERO_ITEM CSL_CITATION {"citationID":"ZBcZR26v","properties":{"unsorted":false,"formattedCitation":"(Stone et al., 2025, S. 1)","plainCitation":"(Stone et al., 2025, S. 1)","noteIndex":0},"citationItems":[{"id":12,"uris":["http://zotero.org/users/19646628/items/NXXYA2D7"],"itemData":{"id":12,"type":"paper-conference","container-title":"2025 IEEE Conference on Artificial Intelligence (CAI)","DOI":"10.1109/CAI64502.2025.00118","event-title":"2025 IEEE Conference on Artificial Intelligence (CAI)","ISBN":"979-8-3315-2400-5","license":"https://doi.org/10.15223/policy-029","page":"643-650","publisher":"IEEE","publisher-place":"Santa Clara, CA, USA","source":"DOI.org (Crossref)","title":"Navigating MLOps: Insights into Maturity, Lifecycle, Tools, and Careers","title-short":"Navigating MLOps","URL":"https://ieeexplore.ieee.org/document/11050687/","author":[{"family":"Stone","given":"Jasper"},{"family":"Patel","given":"Raj"},{"family":"Ghiasi","given":"Farbod"},{"family":"Mittal","given":"Sudip"},{"family":"Rahimi","given":"Shahram"}],"accessed":{"date-parts":[["2026",2,15]]},"issued":{"date-parts":[["2025",5,5]]}},"locator":"1","label":"page"}],"schema":"https://github.com/citation-style-language/schema/raw/master/csl-citation.json"} </w:instrText>
      </w:r>
      <w:r w:rsidR="008F37C5" w:rsidRPr="003D1A74">
        <w:fldChar w:fldCharType="separate"/>
      </w:r>
      <w:r w:rsidR="008F37C5" w:rsidRPr="003D1A74">
        <w:rPr>
          <w:noProof/>
        </w:rPr>
        <w:t>(Stone et al., 2025, S. 1)</w:t>
      </w:r>
      <w:r w:rsidR="008F37C5" w:rsidRPr="003D1A74">
        <w:fldChar w:fldCharType="end"/>
      </w:r>
      <w:r w:rsidR="008F37C5" w:rsidRPr="003D1A74">
        <w:t>.</w:t>
      </w:r>
    </w:p>
    <w:p w14:paraId="5F737A13" w14:textId="77777777" w:rsidR="00F006F2" w:rsidRDefault="00F006F2" w:rsidP="00D45435">
      <w:r>
        <w:t xml:space="preserve">Die akademische Diskussion beschreibt eine evolutionäre Entwicklung von </w:t>
      </w:r>
      <w:proofErr w:type="spellStart"/>
      <w:r>
        <w:t>MLOps</w:t>
      </w:r>
      <w:proofErr w:type="spellEnd"/>
      <w:r>
        <w:t xml:space="preserve"> über </w:t>
      </w:r>
      <w:proofErr w:type="spellStart"/>
      <w:r>
        <w:t>LLMOps</w:t>
      </w:r>
      <w:proofErr w:type="spellEnd"/>
      <w:r>
        <w:t xml:space="preserve"> hin zu </w:t>
      </w:r>
      <w:proofErr w:type="spellStart"/>
      <w:r>
        <w:t>GenAIOps</w:t>
      </w:r>
      <w:proofErr w:type="spellEnd"/>
      <w:r>
        <w:t xml:space="preserve"> und </w:t>
      </w:r>
      <w:proofErr w:type="spellStart"/>
      <w:r>
        <w:t>AgentOps</w:t>
      </w:r>
      <w:proofErr w:type="spellEnd"/>
      <w:r>
        <w:t xml:space="preserve">, wobei jedes nachfolgende Paradigma spezifische Unzulänglichkeiten seines Vorgängers adressiert (Joshi, 2025, S. 8; </w:t>
      </w:r>
      <w:proofErr w:type="spellStart"/>
      <w:r>
        <w:t>Pahune</w:t>
      </w:r>
      <w:proofErr w:type="spellEnd"/>
      <w:r>
        <w:t xml:space="preserve"> &amp; Akhtar, 2025, S. 1). </w:t>
      </w:r>
      <w:proofErr w:type="spellStart"/>
      <w:r>
        <w:t>MLOps</w:t>
      </w:r>
      <w:proofErr w:type="spellEnd"/>
      <w:r>
        <w:t xml:space="preserve"> ist als operatives Fundament gut etabliert und umfasst bewährte Prinzipien, Architekturen und Workflows zur End-</w:t>
      </w:r>
      <w:proofErr w:type="spellStart"/>
      <w:r>
        <w:t>to</w:t>
      </w:r>
      <w:proofErr w:type="spellEnd"/>
      <w:r>
        <w:t xml:space="preserve">-End-Automatisierung und Operationalisierung von </w:t>
      </w:r>
      <w:proofErr w:type="spellStart"/>
      <w:r>
        <w:t>Machine</w:t>
      </w:r>
      <w:proofErr w:type="spellEnd"/>
      <w:r>
        <w:t xml:space="preserve">-Learning-Produkten (Kreuzberger et al., 2023, S. 31866–31879). </w:t>
      </w:r>
      <w:proofErr w:type="spellStart"/>
      <w:r>
        <w:t>LLMOps</w:t>
      </w:r>
      <w:proofErr w:type="spellEnd"/>
      <w:r>
        <w:t xml:space="preserve"> wird als spezialisierte Unterkategorie von </w:t>
      </w:r>
      <w:proofErr w:type="spellStart"/>
      <w:r>
        <w:t>MLOps</w:t>
      </w:r>
      <w:proofErr w:type="spellEnd"/>
      <w:r>
        <w:t xml:space="preserve"> verstanden, die sich auf den Betrieb großer Sprachmodelle konzentriert und dabei besondere Anforderungen wie Skalierbarkeit, Sicherheit und ethische Aspekte berücksichtigt (</w:t>
      </w:r>
      <w:proofErr w:type="spellStart"/>
      <w:r>
        <w:t>Pahune</w:t>
      </w:r>
      <w:proofErr w:type="spellEnd"/>
      <w:r>
        <w:t xml:space="preserve"> &amp; Akhtar, 2025, S. 1, 10; Sinha et al., 2024, S. 2; </w:t>
      </w:r>
      <w:proofErr w:type="spellStart"/>
      <w:r>
        <w:t>Tantithamthavorn</w:t>
      </w:r>
      <w:proofErr w:type="spellEnd"/>
      <w:r>
        <w:t xml:space="preserve"> et al., 2025, S. 27). </w:t>
      </w:r>
      <w:proofErr w:type="spellStart"/>
      <w:r>
        <w:t>GenAIOps</w:t>
      </w:r>
      <w:proofErr w:type="spellEnd"/>
      <w:r>
        <w:t xml:space="preserve"> erweitert diese Konzepte als übergeordnetes Operationsparadigma um die spezifischen Komplexitäten generativer KI-Systeme im Enterprise-Umfeld – einschließlich erweitertem Monitoring, Prompt-Management und Agenten-Debugging (Joshi, 2025, S. 7–8). Da </w:t>
      </w:r>
      <w:proofErr w:type="spellStart"/>
      <w:r>
        <w:t>GenAIOps</w:t>
      </w:r>
      <w:proofErr w:type="spellEnd"/>
      <w:r>
        <w:t xml:space="preserve"> </w:t>
      </w:r>
      <w:proofErr w:type="spellStart"/>
      <w:r>
        <w:t>LLMOps</w:t>
      </w:r>
      <w:proofErr w:type="spellEnd"/>
      <w:r>
        <w:t xml:space="preserve"> konzeptuell einschließt (vgl. </w:t>
      </w:r>
      <w:proofErr w:type="spellStart"/>
      <w:r>
        <w:t>Pahune</w:t>
      </w:r>
      <w:proofErr w:type="spellEnd"/>
      <w:r>
        <w:t xml:space="preserve"> &amp; Akhtar, 2025, S. 3), gelten die für </w:t>
      </w:r>
      <w:proofErr w:type="spellStart"/>
      <w:r>
        <w:t>LLMOps</w:t>
      </w:r>
      <w:proofErr w:type="spellEnd"/>
      <w:r>
        <w:t xml:space="preserve"> identifizierten offenen Herausforderungen </w:t>
      </w:r>
      <w:r>
        <w:lastRenderedPageBreak/>
        <w:t xml:space="preserve">gleichermaßen – und in erweiterter Form – für den </w:t>
      </w:r>
      <w:proofErr w:type="spellStart"/>
      <w:r>
        <w:t>GenAIOps</w:t>
      </w:r>
      <w:proofErr w:type="spellEnd"/>
      <w:r>
        <w:t>-Kontext (</w:t>
      </w:r>
      <w:proofErr w:type="spellStart"/>
      <w:r>
        <w:t>Pahune</w:t>
      </w:r>
      <w:proofErr w:type="spellEnd"/>
      <w:r>
        <w:t xml:space="preserve"> &amp; Akhtar, 2025, S. 22). Trotz erster konzeptueller Integrationsversuche (Joshi, 2025, S. 7; Sinha et al., 2024, S. 3) ist </w:t>
      </w:r>
      <w:proofErr w:type="spellStart"/>
      <w:r>
        <w:t>GenAIOps</w:t>
      </w:r>
      <w:proofErr w:type="spellEnd"/>
      <w:r>
        <w:t xml:space="preserve"> als operativer Rahmen bislang weder konzeptuell vollständig konsolidiert noch in eine standardisierte Enterprise-Referenzarchitektur überführt worden. Insgesamt zeigt sich ein klarer Trend zur kontinuierlichen Verbesserung und Anpassung der Betriebsparadigmen für KI-Systeme (Kreuzberger et al., 2023, S. 31876; </w:t>
      </w:r>
      <w:proofErr w:type="spellStart"/>
      <w:r>
        <w:t>Pahune</w:t>
      </w:r>
      <w:proofErr w:type="spellEnd"/>
      <w:r>
        <w:t xml:space="preserve"> &amp; Akhtar, 2025, S. 22–23), </w:t>
      </w:r>
      <w:r w:rsidRPr="009B13C3">
        <w:rPr>
          <w:b/>
          <w:bCs/>
        </w:rPr>
        <w:t xml:space="preserve">wobei die formale Etablierung eines integrierten </w:t>
      </w:r>
      <w:proofErr w:type="spellStart"/>
      <w:r w:rsidRPr="009B13C3">
        <w:rPr>
          <w:b/>
          <w:bCs/>
        </w:rPr>
        <w:t>GenAIOps</w:t>
      </w:r>
      <w:proofErr w:type="spellEnd"/>
      <w:r w:rsidRPr="009B13C3">
        <w:rPr>
          <w:b/>
          <w:bCs/>
        </w:rPr>
        <w:t>-Frameworks – das</w:t>
      </w:r>
      <w:r w:rsidRPr="00282FC4">
        <w:rPr>
          <w:b/>
          <w:bCs/>
        </w:rPr>
        <w:t xml:space="preserve"> Cloud-native Prinzipien, </w:t>
      </w:r>
      <w:proofErr w:type="spellStart"/>
      <w:r w:rsidRPr="00282FC4">
        <w:rPr>
          <w:b/>
          <w:bCs/>
        </w:rPr>
        <w:t>Governance</w:t>
      </w:r>
      <w:proofErr w:type="spellEnd"/>
      <w:r w:rsidRPr="00282FC4">
        <w:rPr>
          <w:b/>
          <w:bCs/>
        </w:rPr>
        <w:t>-Mechanismen und regulatorische Compliance systematisch integriert –</w:t>
      </w:r>
      <w:r>
        <w:t xml:space="preserve"> </w:t>
      </w:r>
      <w:r w:rsidRPr="00750B58">
        <w:rPr>
          <w:b/>
          <w:bCs/>
        </w:rPr>
        <w:t>weiterhin eine offene Forschungsfrage darstellt</w:t>
      </w:r>
      <w:r>
        <w:t xml:space="preserve"> (Joshi, 2025, S. 8; </w:t>
      </w:r>
      <w:proofErr w:type="spellStart"/>
      <w:r>
        <w:t>Pahune</w:t>
      </w:r>
      <w:proofErr w:type="spellEnd"/>
      <w:r>
        <w:t xml:space="preserve"> &amp; Akhtar, 2025, S. 23; </w:t>
      </w:r>
      <w:proofErr w:type="spellStart"/>
      <w:r>
        <w:t>Tantithamthavorn</w:t>
      </w:r>
      <w:proofErr w:type="spellEnd"/>
      <w:r>
        <w:t xml:space="preserve"> et al., 2025, S. 27).</w:t>
      </w:r>
    </w:p>
    <w:p w14:paraId="5A823365" w14:textId="7E24A8FA" w:rsidR="00794B76" w:rsidRDefault="00794B76" w:rsidP="00D45435">
      <w:r>
        <w:t>Diese Lifecycle-Fragmentierung hat unmittelbare Konsequenzen für die Qualitätssicherung: Wo kein integriertes Framework die Phasenübergänge strukturiert, fehlt auch die Grundlage für phasenübergreifende Qualitätskontrollmechanismen — ein Defizit, das die folgende Problemdimension vertieft.</w:t>
      </w:r>
    </w:p>
    <w:p w14:paraId="21B6BF3D" w14:textId="77777777" w:rsidR="0066364F" w:rsidRPr="003C06E8" w:rsidRDefault="0066364F" w:rsidP="003C06E8">
      <w:pPr>
        <w:pStyle w:val="berschrift3"/>
      </w:pPr>
      <w:bookmarkStart w:id="4" w:name="_Toc222521081"/>
      <w:r w:rsidRPr="003C06E8">
        <w:t xml:space="preserve">1.2.2 Zweite Problemdimension: Methodische </w:t>
      </w:r>
      <w:proofErr w:type="spellStart"/>
      <w:r w:rsidRPr="003C06E8">
        <w:t>Inadäquanz</w:t>
      </w:r>
      <w:proofErr w:type="spellEnd"/>
      <w:r w:rsidRPr="003C06E8">
        <w:t xml:space="preserve"> bestehender Qualitätssicherungsmechanismen für generative KI-Systeme</w:t>
      </w:r>
      <w:bookmarkEnd w:id="4"/>
    </w:p>
    <w:p w14:paraId="7AD34A71" w14:textId="2F0EEC38" w:rsidR="0066364F" w:rsidRPr="0066364F" w:rsidRDefault="0066364F" w:rsidP="0066364F">
      <w:r w:rsidRPr="0066364F">
        <w:t xml:space="preserve">Die in Problemdimension 1 beschriebene Fragmentierung bestehender </w:t>
      </w:r>
      <w:proofErr w:type="spellStart"/>
      <w:r w:rsidRPr="0066364F">
        <w:t>Operationalisierungsframeworks</w:t>
      </w:r>
      <w:proofErr w:type="spellEnd"/>
      <w:r w:rsidRPr="0066364F">
        <w:t xml:space="preserve"> wird durch eine methodische Lücke in der Qualitätssicherung verschärft: Die etablierten Verfahren zur Qualitätskontrolle in </w:t>
      </w:r>
      <w:proofErr w:type="spellStart"/>
      <w:r w:rsidRPr="0066364F">
        <w:t>MLOps</w:t>
      </w:r>
      <w:proofErr w:type="spellEnd"/>
      <w:r w:rsidRPr="0066364F">
        <w:t xml:space="preserve">-Pipelines basieren auf deterministischen Metriken wie </w:t>
      </w:r>
      <w:proofErr w:type="spellStart"/>
      <w:r w:rsidRPr="0066364F">
        <w:t>Accuracy</w:t>
      </w:r>
      <w:proofErr w:type="spellEnd"/>
      <w:r w:rsidRPr="0066364F">
        <w:t xml:space="preserve">, F1-Score oder AUC-ROC, die für </w:t>
      </w:r>
      <w:proofErr w:type="spellStart"/>
      <w:r w:rsidRPr="0066364F">
        <w:t>diskriminative</w:t>
      </w:r>
      <w:proofErr w:type="spellEnd"/>
      <w:r w:rsidRPr="0066364F">
        <w:t xml:space="preserve"> Modelle mit stabilen Ein-/Ausgabebeziehungen konzipiert wurden</w:t>
      </w:r>
      <w:r w:rsidR="002A64E0">
        <w:t xml:space="preserve"> </w:t>
      </w:r>
      <w:r w:rsidR="004E1DBE">
        <w:fldChar w:fldCharType="begin"/>
      </w:r>
      <w:r w:rsidR="004C7255">
        <w:instrText xml:space="preserve"> ADDIN ZOTERO_ITEM CSL_CITATION {"citationID":"SFNPpWFE","properties":{"unsorted":false,"formattedCitation":"(Polyakovska, 2025, S. 5)","plainCitation":"(Polyakovska, 2025, S. 5)","noteIndex":0},"citationItems":[{"id":160,"uris":["http://zotero.org/users/19646628/items/QC2P4IRB"],"itemData":{"id":160,"type":"article-journal","abstract":"Polyakovska N. Towards a Practical Framework for LLMOps: Understanding and Building Operational Excellence for Large Language Models. Effective life cycle management of large language models (LLMs) ensures their reliability and adaptability in production environments. The study's relevance is due to the rapid growth in the use of large language models in various industries, accompanied by challenges such as high computational requirements, risks of generating false results (“hallucinations”), and algorithmic bias. It is established that traditional MLOps methods do not provide adequate quality control and scalability, which requires the development of specialized operational approaches for LLM. The study aims to form an operational framework for LLMOps that covers all stages of the life cycle of large language models, from data processing to realtime monitoring and support. The research methods are based on an interdisciplinary analysis of current practices of implementing large-scale language models, identifying problematic aspects of their use, and developing practical recommendations for effective system management. The main stages of the operational framework are identified, including data preparation, model development and deployment, and control of results at the monitoring and support stages. The most critical aspects are integrating multi-level monitoring, compliance with ethical standards, and introducing automated algorithms to reduce the frequency of false positives. The study's results confirm that the proposed operational framework increases the reliability of language models in high-load environments and ensures their adaptation to dynamic changes in the query structure. The use of distributed computing methods, resource optimization, and post-processing verification helps minimize the risks associated with the performance and accuracy of model responses. Simulation stress tests are recommended to check the system's stability during peak load periods. Conclusions. The paper emphasizes the importance of continuously auditing models' operations to ensure their transparency and compliance with regulatory requirements. Prospects for further research include optimizing retraining processes and implementing energyefficient computing resource management methods.","container-title":"COMPUTER-INTEGRATED TECHNOLOGIES: EDUCATION, SCIENCE, PRODUCTION","DOI":"10.36910/6775-2524-0560-2025-58-14","ISSN":"2524-0560, 2524-0552","issue":"58","journalAbbreviation":"cit","language":"en","page":"123-130","source":"DOI.org (Crossref)","title":"Understanding and Building Operational Excellence for Large Language Models","author":[{"family":"Polyakovska","given":"Н.О."}],"issued":{"date-parts":[["2025",3,26]]}},"locator":"5","label":"page"}],"schema":"https://github.com/citation-style-language/schema/raw/master/csl-citation.json"} </w:instrText>
      </w:r>
      <w:r w:rsidR="004E1DBE">
        <w:fldChar w:fldCharType="separate"/>
      </w:r>
      <w:r w:rsidR="004C7255">
        <w:rPr>
          <w:szCs w:val="24"/>
          <w:lang w:eastAsia="en-US"/>
          <w14:ligatures w14:val="standardContextual"/>
        </w:rPr>
        <w:t>(Polyakovska, 2025, S. 5)</w:t>
      </w:r>
      <w:r w:rsidR="004E1DBE">
        <w:fldChar w:fldCharType="end"/>
      </w:r>
      <w:r w:rsidR="002A64E0">
        <w:t xml:space="preserve"> </w:t>
      </w:r>
      <w:r w:rsidRPr="0066364F">
        <w:t xml:space="preserve">Generative KI-Systeme erzeugen jedoch stochastische, kontextabhängige Outputs, deren Qualität nicht mit einzelnen numerischen Schwellenwerten erfasst werden kann. </w:t>
      </w:r>
      <w:proofErr w:type="spellStart"/>
      <w:r w:rsidRPr="0066364F">
        <w:t>Polyakovska</w:t>
      </w:r>
      <w:proofErr w:type="spellEnd"/>
      <w:r w:rsidRPr="0066364F">
        <w:t xml:space="preserve"> et al. konstatieren, dass traditionelle </w:t>
      </w:r>
      <w:proofErr w:type="spellStart"/>
      <w:r w:rsidRPr="0066364F">
        <w:t>MLOps</w:t>
      </w:r>
      <w:proofErr w:type="spellEnd"/>
      <w:r w:rsidRPr="0066364F">
        <w:t xml:space="preserve">-Methoden keine angemessene Qualitätskontrolle und Skalierbarkeit für LLMs bieten. Diese methodische </w:t>
      </w:r>
      <w:proofErr w:type="spellStart"/>
      <w:r w:rsidRPr="0066364F">
        <w:t>Inadäquanz</w:t>
      </w:r>
      <w:proofErr w:type="spellEnd"/>
      <w:r w:rsidRPr="0066364F">
        <w:t xml:space="preserve"> manifestiert sich in drei konkreten Defiziten</w:t>
      </w:r>
      <w:r w:rsidR="004502A9">
        <w:t xml:space="preserve"> </w:t>
      </w:r>
      <w:r w:rsidR="004502A9">
        <w:fldChar w:fldCharType="begin"/>
      </w:r>
      <w:r w:rsidR="004C7255">
        <w:instrText xml:space="preserve"> ADDIN ZOTERO_ITEM CSL_CITATION {"citationID":"UZOehxLU","properties":{"unsorted":false,"formattedCitation":"(Polyakovska, 2025, S. 2)","plainCitation":"(Polyakovska, 2025, S. 2)","noteIndex":0},"citationItems":[{"id":160,"uris":["http://zotero.org/users/19646628/items/QC2P4IRB"],"itemData":{"id":160,"type":"article-journal","abstract":"Polyakovska N. Towards a Practical Framework for LLMOps: Understanding and Building Operational Excellence for Large Language Models. Effective life cycle management of large language models (LLMs) ensures their reliability and adaptability in production environments. The study's relevance is due to the rapid growth in the use of large language models in various industries, accompanied by challenges such as high computational requirements, risks of generating false results (“hallucinations”), and algorithmic bias. It is established that traditional MLOps methods do not provide adequate quality control and scalability, which requires the development of specialized operational approaches for LLM. The study aims to form an operational framework for LLMOps that covers all stages of the life cycle of large language models, from data processing to realtime monitoring and support. The research methods are based on an interdisciplinary analysis of current practices of implementing large-scale language models, identifying problematic aspects of their use, and developing practical recommendations for effective system management. The main stages of the operational framework are identified, including data preparation, model development and deployment, and control of results at the monitoring and support stages. The most critical aspects are integrating multi-level monitoring, compliance with ethical standards, and introducing automated algorithms to reduce the frequency of false positives. The study's results confirm that the proposed operational framework increases the reliability of language models in high-load environments and ensures their adaptation to dynamic changes in the query structure. The use of distributed computing methods, resource optimization, and post-processing verification helps minimize the risks associated with the performance and accuracy of model responses. Simulation stress tests are recommended to check the system's stability during peak load periods. Conclusions. The paper emphasizes the importance of continuously auditing models' operations to ensure their transparency and compliance with regulatory requirements. Prospects for further research include optimizing retraining processes and implementing energyefficient computing resource management methods.","container-title":"COMPUTER-INTEGRATED TECHNOLOGIES: EDUCATION, SCIENCE, PRODUCTION","DOI":"10.36910/6775-2524-0560-2025-58-14","ISSN":"2524-0560, 2524-0552","issue":"58","journalAbbreviation":"cit","language":"en","page":"123-130","source":"DOI.org (Crossref)","title":"Understanding and Building Operational Excellence for Large Language Models","author":[{"family":"Polyakovska","given":"Н.О."}],"issued":{"date-parts":[["2025",3,26]]}},"locator":"2","label":"page"}],"schema":"https://github.com/citation-style-language/schema/raw/master/csl-citation.json"} </w:instrText>
      </w:r>
      <w:r w:rsidR="004502A9">
        <w:fldChar w:fldCharType="separate"/>
      </w:r>
      <w:r w:rsidR="004C7255">
        <w:rPr>
          <w:szCs w:val="24"/>
          <w:lang w:eastAsia="en-US"/>
          <w14:ligatures w14:val="standardContextual"/>
        </w:rPr>
        <w:t>(Polyakovska, 2025, S. 2)</w:t>
      </w:r>
      <w:r w:rsidR="004502A9">
        <w:fldChar w:fldCharType="end"/>
      </w:r>
      <w:r w:rsidR="00393389">
        <w:t>.</w:t>
      </w:r>
    </w:p>
    <w:p w14:paraId="16DBD59A" w14:textId="54F6692A" w:rsidR="0066364F" w:rsidRPr="0066364F" w:rsidRDefault="0066364F" w:rsidP="0066364F">
      <w:r w:rsidRPr="0066364F">
        <w:t xml:space="preserve">Erstens fehlen standardisierte </w:t>
      </w:r>
      <w:proofErr w:type="spellStart"/>
      <w:r w:rsidRPr="0066364F">
        <w:t>Evaluationsmetriken</w:t>
      </w:r>
      <w:proofErr w:type="spellEnd"/>
      <w:r w:rsidRPr="0066364F">
        <w:t xml:space="preserve"> für </w:t>
      </w:r>
      <w:proofErr w:type="spellStart"/>
      <w:r w:rsidRPr="0066364F">
        <w:t>GenAI</w:t>
      </w:r>
      <w:proofErr w:type="spellEnd"/>
      <w:r w:rsidRPr="0066364F">
        <w:t>-spezifische Risikodimensionen</w:t>
      </w:r>
      <w:r w:rsidR="00454402">
        <w:t xml:space="preserve">  </w:t>
      </w:r>
      <w:r w:rsidR="00832D0F">
        <w:fldChar w:fldCharType="begin"/>
      </w:r>
      <w:r w:rsidR="00454402">
        <w:instrText xml:space="preserve"> ADDIN ZOTERO_ITEM CSL_CITATION {"citationID":"Ui37nshS","properties":{"unsorted":false,"formattedCitation":"(Xu et al., 2025, S. 14)","plainCitation":"(Xu et al., 2025, S. 14)","noteIndex":0},"citationItems":[{"id":7,"uris":["http://zotero.org/users/19646628/items/UJ6GL4D4"],"itemData":{"id":7,"type":"article","abstract":"Recent studies show that 60% of LLM-based compound systems in enterprise environments leverage some form of retrieval-augmented generation (RAG), which enhances the relevance and accuracy of LLM (or other genAI) outputs by retrieving relevant information from external data sources. LLMOps involves the practices and techniques for managing the lifecycle and operations of LLM compound systems in production environments. It supports enhancing LLM systems through continuous operations and feedback evaluation. RAGOps extends LLMOps by incorporating a strong focus on data management to address the continuous changes in external data sources. This necessitates automated methods for evaluating and testing data operations, enhancing retrieval relevance and generation quality. In this paper, we (1) characterize the generic architecture of RAG applications based on the 4+1 model view for describing software architectures, (2) outline the lifecycle of RAG systems, which integrates the management lifecycles of both the LLM and the data, (3) define the key design considerations of RAGOps across different stages of the RAG lifecycle and quality trade-off analyses, (4) highlight the overarching research challenges around RAGOps, and (5) present two use cases of RAG applications and the corresponding RAGOps considerations.","DOI":"10.48550/ARXIV.2506.03401","license":"arXiv.org perpetual, non-exclusive license","note":"version: 1","publisher":"arXiv","source":"DOI.org (Datacite)","title":"RAGOps: Operating and Managing Retrieval-Augmented Generation Pipelines","title-short":"RAGOps","URL":"https://arxiv.org/abs/2506.03401","author":[{"family":"Xu","given":"Xiwei"},{"family":"Weytjens","given":"Hans"},{"family":"Zhang","given":"Dawen"},{"family":"Lu","given":"Qinghua"},{"family":"Weber","given":"Ingo"},{"family":"Zhu","given":"Liming"}],"accessed":{"date-parts":[["2026",2,15]]},"issued":{"date-parts":[["2025"]]}},"locator":"14","label":"page"}],"schema":"https://github.com/citation-style-language/schema/raw/master/csl-citation.json"} </w:instrText>
      </w:r>
      <w:r w:rsidR="00832D0F">
        <w:fldChar w:fldCharType="separate"/>
      </w:r>
      <w:r w:rsidR="00454402">
        <w:rPr>
          <w:noProof/>
        </w:rPr>
        <w:t>(Xu et al., 2025, S. 14)</w:t>
      </w:r>
      <w:r w:rsidR="00832D0F">
        <w:fldChar w:fldCharType="end"/>
      </w:r>
      <w:r w:rsidR="00E973A6">
        <w:t xml:space="preserve"> </w:t>
      </w:r>
      <w:r w:rsidRPr="0066364F">
        <w:t xml:space="preserve">identifizieren einen Mangel an standardisierten </w:t>
      </w:r>
      <w:proofErr w:type="spellStart"/>
      <w:r w:rsidRPr="0066364F">
        <w:t>Evaluationsmetriken</w:t>
      </w:r>
      <w:proofErr w:type="spellEnd"/>
      <w:r w:rsidRPr="0066364F">
        <w:t xml:space="preserve"> für verschiedene Funktionalitäten in RAG-Systemen. Ohne messbare, reproduzierbare Kriterien für Retrieval-Precision, Generierungsqualität, Halluzinations-Raten oder Prompt-</w:t>
      </w:r>
      <w:proofErr w:type="spellStart"/>
      <w:r w:rsidRPr="0066364F">
        <w:t>Injection</w:t>
      </w:r>
      <w:proofErr w:type="spellEnd"/>
      <w:r w:rsidRPr="0066364F">
        <w:t>-</w:t>
      </w:r>
      <w:proofErr w:type="spellStart"/>
      <w:r w:rsidRPr="0066364F">
        <w:t>Vulnerabilities</w:t>
      </w:r>
      <w:proofErr w:type="spellEnd"/>
      <w:r w:rsidRPr="0066364F">
        <w:t xml:space="preserve"> können keine automatisierten Schwellenwerte definiert werden, an denen eine Freigabe- oder Ablehnungsentscheidung systematisch getroffen wird. Die Konsequenz ist, dass Qualitätsentscheidungen in der Praxis ad hoc und manuell erfolgen, was bei steigender </w:t>
      </w:r>
      <w:proofErr w:type="spellStart"/>
      <w:r w:rsidRPr="0066364F">
        <w:t>Deployment</w:t>
      </w:r>
      <w:proofErr w:type="spellEnd"/>
      <w:r w:rsidRPr="0066364F">
        <w:t>-Frequenz nicht skaliert.</w:t>
      </w:r>
      <w:r w:rsidR="00E973A6">
        <w:t xml:space="preserve"> </w:t>
      </w:r>
    </w:p>
    <w:p w14:paraId="0A9E34DD" w14:textId="664EB91D" w:rsidR="0066364F" w:rsidRPr="0066364F" w:rsidRDefault="0066364F" w:rsidP="0066364F">
      <w:r w:rsidRPr="0066364F">
        <w:lastRenderedPageBreak/>
        <w:t xml:space="preserve">Zweitens ist die </w:t>
      </w:r>
      <w:proofErr w:type="spellStart"/>
      <w:r w:rsidRPr="0066364F">
        <w:t>Observability</w:t>
      </w:r>
      <w:proofErr w:type="spellEnd"/>
      <w:r w:rsidRPr="0066364F">
        <w:t xml:space="preserve">-Infrastruktur für generative KI-Systeme unzureichend entwickelt. </w:t>
      </w:r>
      <w:r w:rsidR="00E973A6">
        <w:t xml:space="preserve"> </w:t>
      </w:r>
      <w:r w:rsidR="00E973A6">
        <w:fldChar w:fldCharType="begin"/>
      </w:r>
      <w:r w:rsidR="00A604E3">
        <w:instrText xml:space="preserve"> ADDIN ZOTERO_ITEM CSL_CITATION {"citationID":"JYO1ucJU","properties":{"unsorted":false,"formattedCitation":"(Xu et al., 2025, S. 15)","plainCitation":"(Xu et al., 2025, S. 15)","noteIndex":0},"citationItems":[{"id":7,"uris":["http://zotero.org/users/19646628/items/UJ6GL4D4"],"itemData":{"id":7,"type":"article","abstract":"Recent studies show that 60% of LLM-based compound systems in enterprise environments leverage some form of retrieval-augmented generation (RAG), which enhances the relevance and accuracy of LLM (or other genAI) outputs by retrieving relevant information from external data sources. LLMOps involves the practices and techniques for managing the lifecycle and operations of LLM compound systems in production environments. It supports enhancing LLM systems through continuous operations and feedback evaluation. RAGOps extends LLMOps by incorporating a strong focus on data management to address the continuous changes in external data sources. This necessitates automated methods for evaluating and testing data operations, enhancing retrieval relevance and generation quality. In this paper, we (1) characterize the generic architecture of RAG applications based on the 4+1 model view for describing software architectures, (2) outline the lifecycle of RAG systems, which integrates the management lifecycles of both the LLM and the data, (3) define the key design considerations of RAGOps across different stages of the RAG lifecycle and quality trade-off analyses, (4) highlight the overarching research challenges around RAGOps, and (5) present two use cases of RAG applications and the corresponding RAGOps considerations.","DOI":"10.48550/ARXIV.2506.03401","license":"arXiv.org perpetual, non-exclusive license","note":"version: 1","publisher":"arXiv","source":"DOI.org (Datacite)","title":"RAGOps: Operating and Managing Retrieval-Augmented Generation Pipelines","title-short":"RAGOps","URL":"https://arxiv.org/abs/2506.03401","author":[{"family":"Xu","given":"Xiwei"},{"family":"Weytjens","given":"Hans"},{"family":"Zhang","given":"Dawen"},{"family":"Lu","given":"Qinghua"},{"family":"Weber","given":"Ingo"},{"family":"Zhu","given":"Liming"}],"accessed":{"date-parts":[["2026",2,15]]},"issued":{"date-parts":[["2025"]]}},"locator":"15","label":"page"}],"schema":"https://github.com/citation-style-language/schema/raw/master/csl-citation.json"} </w:instrText>
      </w:r>
      <w:r w:rsidR="00E973A6">
        <w:fldChar w:fldCharType="separate"/>
      </w:r>
      <w:r w:rsidR="00A604E3">
        <w:rPr>
          <w:noProof/>
        </w:rPr>
        <w:t>(Xu et al., 2025, S. 15)</w:t>
      </w:r>
      <w:r w:rsidR="00E973A6">
        <w:fldChar w:fldCharType="end"/>
      </w:r>
      <w:r w:rsidR="00E973A6">
        <w:t xml:space="preserve"> </w:t>
      </w:r>
      <w:r w:rsidRPr="0066364F">
        <w:t xml:space="preserve">und </w:t>
      </w:r>
      <w:r w:rsidR="00A62006">
        <w:fldChar w:fldCharType="begin"/>
      </w:r>
      <w:r w:rsidR="00906C39">
        <w:instrText xml:space="preserve"> ADDIN ZOTERO_ITEM CSL_CITATION {"citationID":"wBY1BtNx","properties":{"unsorted":false,"formattedCitation":"(Polyakovska, 2025, S. 6\\uc0\\u8211{}7)","plainCitation":"(Polyakovska, 2025, S. 6–7)","noteIndex":0},"citationItems":[{"id":160,"uris":["http://zotero.org/users/19646628/items/QC2P4IRB"],"itemData":{"id":160,"type":"article-journal","abstract":"Polyakovska N. Towards a Practical Framework for LLMOps: Understanding and Building Operational Excellence for Large Language Models. Effective life cycle management of large language models (LLMs) ensures their reliability and adaptability in production environments. The study's relevance is due to the rapid growth in the use of large language models in various industries, accompanied by challenges such as high computational requirements, risks of generating false results (“hallucinations”), and algorithmic bias. It is established that traditional MLOps methods do not provide adequate quality control and scalability, which requires the development of specialized operational approaches for LLM. The study aims to form an operational framework for LLMOps that covers all stages of the life cycle of large language models, from data processing to realtime monitoring and support. The research methods are based on an interdisciplinary analysis of current practices of implementing large-scale language models, identifying problematic aspects of their use, and developing practical recommendations for effective system management. The main stages of the operational framework are identified, including data preparation, model development and deployment, and control of results at the monitoring and support stages. The most critical aspects are integrating multi-level monitoring, compliance with ethical standards, and introducing automated algorithms to reduce the frequency of false positives. The study's results confirm that the proposed operational framework increases the reliability of language models in high-load environments and ensures their adaptation to dynamic changes in the query structure. The use of distributed computing methods, resource optimization, and post-processing verification helps minimize the risks associated with the performance and accuracy of model responses. Simulation stress tests are recommended to check the system's stability during peak load periods. Conclusions. The paper emphasizes the importance of continuously auditing models' operations to ensure their transparency and compliance with regulatory requirements. Prospects for further research include optimizing retraining processes and implementing energyefficient computing resource management methods.","container-title":"COMPUTER-INTEGRATED TECHNOLOGIES: EDUCATION, SCIENCE, PRODUCTION","DOI":"10.36910/6775-2524-0560-2025-58-14","ISSN":"2524-0560, 2524-0552","issue":"58","journalAbbreviation":"cit","language":"en","page":"123-130","source":"DOI.org (Crossref)","title":"Understanding and Building Operational Excellence for Large Language Models","author":[{"family":"Polyakovska","given":"Н.О."}],"issued":{"date-parts":[["2025",3,26]]}},"locator":"6-7","label":"page"}],"schema":"https://github.com/citation-style-language/schema/raw/master/csl-citation.json"} </w:instrText>
      </w:r>
      <w:r w:rsidR="00A62006">
        <w:fldChar w:fldCharType="separate"/>
      </w:r>
      <w:r w:rsidR="00906C39" w:rsidRPr="00906C39">
        <w:rPr>
          <w:szCs w:val="24"/>
          <w:lang w:eastAsia="en-US"/>
          <w14:ligatures w14:val="standardContextual"/>
        </w:rPr>
        <w:t>(Polyakovska, 2025, S. 6–7)</w:t>
      </w:r>
      <w:r w:rsidR="00A62006">
        <w:fldChar w:fldCharType="end"/>
      </w:r>
      <w:r w:rsidR="00906C39">
        <w:t xml:space="preserve"> </w:t>
      </w:r>
      <w:r w:rsidRPr="0066364F">
        <w:t xml:space="preserve">identifizieren begrenzte Unterstützung für </w:t>
      </w:r>
      <w:proofErr w:type="spellStart"/>
      <w:r w:rsidRPr="0066364F">
        <w:t>Observability</w:t>
      </w:r>
      <w:proofErr w:type="spellEnd"/>
      <w:r w:rsidRPr="0066364F">
        <w:t xml:space="preserve"> im Retrieval-Prozess sowie Herausforderungen bei der Entkopplung von Qualitätsaspekten im Monitoring. Jede formalisierte Qualitätskontrolle setzt nachprüfbare Evidenz voraus — etwa Monitoring-Metriken, Test-Reports oder Audit-Logs. Wenn die infrastrukturellen Grundlagen zur Erzeugung und </w:t>
      </w:r>
      <w:proofErr w:type="spellStart"/>
      <w:r w:rsidRPr="0066364F">
        <w:t>Persistierung</w:t>
      </w:r>
      <w:proofErr w:type="spellEnd"/>
      <w:r w:rsidRPr="0066364F">
        <w:t xml:space="preserve"> dieser Evidenz fehlen, bleibt Qualitätssicherung notwendig informell und nicht reproduzierbar.</w:t>
      </w:r>
    </w:p>
    <w:p w14:paraId="725EB36F" w14:textId="1BCDB465" w:rsidR="0066364F" w:rsidRPr="0066364F" w:rsidRDefault="0066364F" w:rsidP="0066364F">
      <w:r w:rsidRPr="0066364F">
        <w:t xml:space="preserve">Drittens fehlt eine phasenübergreifende Orchestrierung von Qualitätskontrollpunkten über den </w:t>
      </w:r>
      <w:proofErr w:type="spellStart"/>
      <w:r w:rsidRPr="0066364F">
        <w:t>GenAI</w:t>
      </w:r>
      <w:proofErr w:type="spellEnd"/>
      <w:r w:rsidRPr="0066364F">
        <w:t>-Lebenszyklus hinweg. Die in Problemdimension 1 beschriebene Lifecycle-Fragmentierung hat zur Folge, dass auch Qualitätsprüfungen isoliert innerhalb einzelner Phasen stattfinden, ohne definierte Abhängigkeiten oder Übergabekriterien zwischen den Phasen</w:t>
      </w:r>
      <w:r w:rsidR="00A97995">
        <w:t xml:space="preserve"> </w:t>
      </w:r>
      <w:r w:rsidR="00A97995">
        <w:fldChar w:fldCharType="begin"/>
      </w:r>
      <w:r w:rsidR="00122284">
        <w:instrText xml:space="preserve"> ADDIN ZOTERO_ITEM CSL_CITATION {"citationID":"RnxeLMJ6","properties":{"unsorted":false,"formattedCitation":"(Wang et al., 2025, S. 1\\uc0\\u8211{}2)","plainCitation":"(Wang et al., 2025, S. 1–2)","noteIndex":0},"citationItems":[{"id":14,"uris":["http://zotero.org/users/19646628/items/7PJ9IGLA"],"itemData":{"id":14,"type":"article","abstract":"The remarkable success of Large Language Models (LLMs) has illuminated a promising pathway toward achieving Artificial General Intelligence for both academic and industrial communities, owing to their unprecedented performance across various applications. As LLMs continue to gain prominence in both research and commercial domains, their security and safety implications have become a growing concern, not only for researchers and corporations but also for every nation. Currently, existing surveys on LLM safety primarily focus on specific stages of the LLM lifecycle, e.g., deployment phase or fine-tuning phase, lacking a comprehensive understanding of the entire \"lifechain\" of LLMs. To address this gap, this paper introduces, for the first time, the concept of \"full-stack\" safety to systematically consider safety issues throughout the entire process of LLM training, deployment, and eventual commercialization. Compared to the off-the-shelf LLM safety surveys, our work demonstrates several distinctive advantages: (I) Comprehensive Perspective. We define the complete LLM lifecycle as encompassing data preparation, pre-training, post-training, deployment and final commercialization. To our knowledge, this represents the first safety survey to encompass the entire lifecycle of LLMs. (II) Extensive Literature Support. Our research is grounded in an exhaustive review of over 800+ papers, ensuring comprehensive coverage and systematic organization of security issues within a more holistic understanding. (III) Unique Insights. Through systematic literature analysis, we have developed reliable roadmaps and perspectives for each chapter. Our work identifies promising research directions, including safety in data generation, alignment techniques, model editing, and LLM-based agent systems. These insights provide valuable guidance for researchers pursuing future work in this field.","DOI":"10.48550/ARXIV.2504.15585","license":"Creative Commons Attribution 4.0 International","note":"version: 4","publisher":"arXiv","source":"DOI.org (Datacite)","title":"A Comprehensive Survey in LLM(-Agent) Full Stack Safety: Data, Training and Deployment","title-short":"A Comprehensive Survey in LLM(-Agent) Full Stack Safety","URL":"https://arxiv.org/abs/2504.15585","author":[{"family":"Wang","given":"Kun"},{"family":"Zhang","given":"Guibin"},{"family":"Zhou","given":"Zhenhong"},{"family":"Wu","given":"Jiahao"},{"family":"Yu","given":"Miao"},{"family":"Zhao","given":"Shiqian"},{"family":"Yin","given":"Chenlong"},{"family":"Fu","given":"Jinhu"},{"family":"Yan","given":"Yibo"},{"family":"Luo","given":"Hanjun"},{"family":"Lin","given":"Liang"},{"family":"Xu","given":"Zhihao"},{"family":"Lu","given":"Haolang"},{"family":"Cao","given":"Xinye"},{"family":"Zhou","given":"Xinyun"},{"family":"Jin","given":"Weifei"},{"family":"Meng","given":"Fanci"},{"family":"Xu","given":"Shicheng"},{"family":"Mao","given":"Junyuan"},{"family":"Wang","given":"Yu"},{"family":"Wu","given":"Hao"},{"family":"Wang","given":"Minghe"},{"family":"Zhang","given":"Fan"},{"family":"Fang","given":"Junfeng"},{"family":"Qu","given":"Wenjie"},{"family":"Liu","given":"Yue"},{"family":"Liu","given":"Chengwei"},{"family":"Zhang","given":"Yifan"},{"family":"Li","given":"Qiankun"},{"family":"Guo","given":"Chongye"},{"family":"Qin","given":"Yalan"},{"family":"Fan","given":"Zhaoxin"},{"family":"Wang","given":"Kai"},{"family":"Ding","given":"Yi"},{"family":"Hong","given":"Donghai"},{"family":"Ji","given":"Jiaming"},{"family":"Lai","given":"Yingxin"},{"family":"Yu","given":"Zitong"},{"family":"Li","given":"Xinfeng"},{"family":"Jiang","given":"Yifan"},{"family":"Li","given":"Yanhui"},{"family":"Deng","given":"Xinyu"},{"family":"Wu","given":"Junlin"},{"family":"Wang","given":"Dongxia"},{"family":"Huang","given":"Yihao"},{"family":"Guo","given":"Yufei"},{"family":"Huang","given":"Jen-tse"},{"family":"Wang","given":"Qiufeng"},{"family":"Jin","given":"Xiaolong"},{"family":"Wang","given":"Wenxuan"},{"family":"Liu","given":"Dongrui"},{"family":"Yue","given":"Yanwei"},{"family":"Huang","given":"Wenke"},{"family":"Wan","given":"Guancheng"},{"family":"Chang","given":"Heng"},{"family":"Li","given":"Tianlin"},{"family":"Yu","given":"Yi"},{"family":"Li","given":"Chenghao"},{"family":"Li","given":"Jiawei"},{"family":"Bai","given":"Lei"},{"family":"Zhang","given":"Jie"},{"family":"Guo","given":"Qing"},{"family":"Wang","given":"Jingyi"},{"family":"Chen","given":"Tianlong"},{"family":"Zhou","given":"Joey Tianyi"},{"family":"Jia","given":"Xiaojun"},{"family":"Sun","given":"Weisong"},{"family":"Wu","given":"Cong"},{"family":"Chen","given":"Jing"},{"family":"Hu","given":"Xuming"},{"family":"Li","given":"Yiming"},{"family":"Wang","given":"Xiao"},{"family":"Zhang","given":"Ningyu"},{"family":"Tuan","given":"Luu Anh"},{"family":"Xu","given":"Guowen"},{"family":"Zhang","given":"Jiaheng"},{"family":"Zhang","given":"Tianwei"},{"family":"Ma","given":"Xingjun"},{"family":"Gu","given":"Jindong"},{"family":"Pang","given":"Liang"},{"family":"Wang","given":"Xiang"},{"family":"An","given":"Bo"},{"family":"Sun","given":"Jun"},{"family":"Bansal","given":"Mohit"},{"family":"Pan","given":"Shirui"},{"family":"Lyu","given":"Lingjuan"},{"family":"Elovici","given":"Yuval"},{"family":"Kailkhura","given":"Bhavya"},{"family":"Yang","given":"Yaodong"},{"family":"Li","given":"Hongwei"},{"family":"Xu","given":"Wenyuan"},{"family":"Sun","given":"Yizhou"},{"family":"Wang","given":"Wei"},{"family":"Li","given":"Qing"},{"family":"Tang","given":"Ke"},{"family":"Jiang","given":"Yu-Gang"},{"family":"Juefei-Xu","given":"Felix"},{"family":"Xiong","given":"Hui"},{"family":"Wang","given":"Xiaofeng"},{"family":"Tao","given":"Dacheng"},{"family":"Yu","given":"Philip S."},{"family":"Wen","given":"Qingsong"},{"family":"Liu","given":"Yang"}],"accessed":{"date-parts":[["2026",2,15]]},"issued":{"date-parts":[["2025"]]}},"locator":"1-2","label":"page"}],"schema":"https://github.com/citation-style-language/schema/raw/master/csl-citation.json"} </w:instrText>
      </w:r>
      <w:r w:rsidR="00A97995">
        <w:fldChar w:fldCharType="separate"/>
      </w:r>
      <w:r w:rsidR="00122284" w:rsidRPr="00122284">
        <w:rPr>
          <w:szCs w:val="24"/>
          <w:lang w:eastAsia="en-US"/>
          <w14:ligatures w14:val="standardContextual"/>
        </w:rPr>
        <w:t>(Wang et al., 2025, S. 1–2)</w:t>
      </w:r>
      <w:r w:rsidR="00A97995">
        <w:fldChar w:fldCharType="end"/>
      </w:r>
      <w:r w:rsidRPr="0066364F">
        <w:t xml:space="preserve"> Ein systematisches Zusammenspiel, bei dem etwa eine </w:t>
      </w:r>
      <w:proofErr w:type="spellStart"/>
      <w:r w:rsidRPr="0066364F">
        <w:t>Deployment</w:t>
      </w:r>
      <w:proofErr w:type="spellEnd"/>
      <w:r w:rsidRPr="0066364F">
        <w:t>-Freigabe die erfolgreiche Absolvierung vorgelagerter Qualitäts- und Sicherheitsprüfungen voraussetzt, ist in bestehenden Frameworks konzeptionell nicht angelegt</w:t>
      </w:r>
      <w:r w:rsidR="003A3A17">
        <w:t xml:space="preserve"> </w:t>
      </w:r>
      <w:r w:rsidR="00835FF5">
        <w:fldChar w:fldCharType="begin"/>
      </w:r>
      <w:r w:rsidR="003A3A17">
        <w:instrText xml:space="preserve"> ADDIN ZOTERO_ITEM CSL_CITATION {"citationID":"nr0FptpC","properties":{"unsorted":false,"formattedCitation":"(Wang et al., 2025, S. 1\\uc0\\u8211{}2)","plainCitation":"(Wang et al., 2025, S. 1–2)","noteIndex":0},"citationItems":[{"id":14,"uris":["http://zotero.org/users/19646628/items/7PJ9IGLA"],"itemData":{"id":14,"type":"article","abstract":"The remarkable success of Large Language Models (LLMs) has illuminated a promising pathway toward achieving Artificial General Intelligence for both academic and industrial communities, owing to their unprecedented performance across various applications. As LLMs continue to gain prominence in both research and commercial domains, their security and safety implications have become a growing concern, not only for researchers and corporations but also for every nation. Currently, existing surveys on LLM safety primarily focus on specific stages of the LLM lifecycle, e.g., deployment phase or fine-tuning phase, lacking a comprehensive understanding of the entire \"lifechain\" of LLMs. To address this gap, this paper introduces, for the first time, the concept of \"full-stack\" safety to systematically consider safety issues throughout the entire process of LLM training, deployment, and eventual commercialization. Compared to the off-the-shelf LLM safety surveys, our work demonstrates several distinctive advantages: (I) Comprehensive Perspective. We define the complete LLM lifecycle as encompassing data preparation, pre-training, post-training, deployment and final commercialization. To our knowledge, this represents the first safety survey to encompass the entire lifecycle of LLMs. (II) Extensive Literature Support. Our research is grounded in an exhaustive review of over 800+ papers, ensuring comprehensive coverage and systematic organization of security issues within a more holistic understanding. (III) Unique Insights. Through systematic literature analysis, we have developed reliable roadmaps and perspectives for each chapter. Our work identifies promising research directions, including safety in data generation, alignment techniques, model editing, and LLM-based agent systems. These insights provide valuable guidance for researchers pursuing future work in this field.","DOI":"10.48550/ARXIV.2504.15585","license":"Creative Commons Attribution 4.0 International","note":"version: 4","publisher":"arXiv","source":"DOI.org (Datacite)","title":"A Comprehensive Survey in LLM(-Agent) Full Stack Safety: Data, Training and Deployment","title-short":"A Comprehensive Survey in LLM(-Agent) Full Stack Safety","URL":"https://arxiv.org/abs/2504.15585","author":[{"family":"Wang","given":"Kun"},{"family":"Zhang","given":"Guibin"},{"family":"Zhou","given":"Zhenhong"},{"family":"Wu","given":"Jiahao"},{"family":"Yu","given":"Miao"},{"family":"Zhao","given":"Shiqian"},{"family":"Yin","given":"Chenlong"},{"family":"Fu","given":"Jinhu"},{"family":"Yan","given":"Yibo"},{"family":"Luo","given":"Hanjun"},{"family":"Lin","given":"Liang"},{"family":"Xu","given":"Zhihao"},{"family":"Lu","given":"Haolang"},{"family":"Cao","given":"Xinye"},{"family":"Zhou","given":"Xinyun"},{"family":"Jin","given":"Weifei"},{"family":"Meng","given":"Fanci"},{"family":"Xu","given":"Shicheng"},{"family":"Mao","given":"Junyuan"},{"family":"Wang","given":"Yu"},{"family":"Wu","given":"Hao"},{"family":"Wang","given":"Minghe"},{"family":"Zhang","given":"Fan"},{"family":"Fang","given":"Junfeng"},{"family":"Qu","given":"Wenjie"},{"family":"Liu","given":"Yue"},{"family":"Liu","given":"Chengwei"},{"family":"Zhang","given":"Yifan"},{"family":"Li","given":"Qiankun"},{"family":"Guo","given":"Chongye"},{"family":"Qin","given":"Yalan"},{"family":"Fan","given":"Zhaoxin"},{"family":"Wang","given":"Kai"},{"family":"Ding","given":"Yi"},{"family":"Hong","given":"Donghai"},{"family":"Ji","given":"Jiaming"},{"family":"Lai","given":"Yingxin"},{"family":"Yu","given":"Zitong"},{"family":"Li","given":"Xinfeng"},{"family":"Jiang","given":"Yifan"},{"family":"Li","given":"Yanhui"},{"family":"Deng","given":"Xinyu"},{"family":"Wu","given":"Junlin"},{"family":"Wang","given":"Dongxia"},{"family":"Huang","given":"Yihao"},{"family":"Guo","given":"Yufei"},{"family":"Huang","given":"Jen-tse"},{"family":"Wang","given":"Qiufeng"},{"family":"Jin","given":"Xiaolong"},{"family":"Wang","given":"Wenxuan"},{"family":"Liu","given":"Dongrui"},{"family":"Yue","given":"Yanwei"},{"family":"Huang","given":"Wenke"},{"family":"Wan","given":"Guancheng"},{"family":"Chang","given":"Heng"},{"family":"Li","given":"Tianlin"},{"family":"Yu","given":"Yi"},{"family":"Li","given":"Chenghao"},{"family":"Li","given":"Jiawei"},{"family":"Bai","given":"Lei"},{"family":"Zhang","given":"Jie"},{"family":"Guo","given":"Qing"},{"family":"Wang","given":"Jingyi"},{"family":"Chen","given":"Tianlong"},{"family":"Zhou","given":"Joey Tianyi"},{"family":"Jia","given":"Xiaojun"},{"family":"Sun","given":"Weisong"},{"family":"Wu","given":"Cong"},{"family":"Chen","given":"Jing"},{"family":"Hu","given":"Xuming"},{"family":"Li","given":"Yiming"},{"family":"Wang","given":"Xiao"},{"family":"Zhang","given":"Ningyu"},{"family":"Tuan","given":"Luu Anh"},{"family":"Xu","given":"Guowen"},{"family":"Zhang","given":"Jiaheng"},{"family":"Zhang","given":"Tianwei"},{"family":"Ma","given":"Xingjun"},{"family":"Gu","given":"Jindong"},{"family":"Pang","given":"Liang"},{"family":"Wang","given":"Xiang"},{"family":"An","given":"Bo"},{"family":"Sun","given":"Jun"},{"family":"Bansal","given":"Mohit"},{"family":"Pan","given":"Shirui"},{"family":"Lyu","given":"Lingjuan"},{"family":"Elovici","given":"Yuval"},{"family":"Kailkhura","given":"Bhavya"},{"family":"Yang","given":"Yaodong"},{"family":"Li","given":"Hongwei"},{"family":"Xu","given":"Wenyuan"},{"family":"Sun","given":"Yizhou"},{"family":"Wang","given":"Wei"},{"family":"Li","given":"Qing"},{"family":"Tang","given":"Ke"},{"family":"Jiang","given":"Yu-Gang"},{"family":"Juefei-Xu","given":"Felix"},{"family":"Xiong","given":"Hui"},{"family":"Wang","given":"Xiaofeng"},{"family":"Tao","given":"Dacheng"},{"family":"Yu","given":"Philip S."},{"family":"Wen","given":"Qingsong"},{"family":"Liu","given":"Yang"}],"accessed":{"date-parts":[["2026",2,15]]},"issued":{"date-parts":[["2025"]]}},"locator":"1-2","label":"page"}],"schema":"https://github.com/citation-style-language/schema/raw/master/csl-citation.json"} </w:instrText>
      </w:r>
      <w:r w:rsidR="00835FF5">
        <w:fldChar w:fldCharType="separate"/>
      </w:r>
      <w:r w:rsidR="003A3A17" w:rsidRPr="003A3A17">
        <w:rPr>
          <w:szCs w:val="24"/>
          <w:lang w:eastAsia="en-US"/>
          <w14:ligatures w14:val="standardContextual"/>
        </w:rPr>
        <w:t>(Wang et al., 2025, S. 1–2)</w:t>
      </w:r>
      <w:r w:rsidR="00835FF5">
        <w:fldChar w:fldCharType="end"/>
      </w:r>
      <w:r w:rsidR="003A3A17">
        <w:t>.</w:t>
      </w:r>
    </w:p>
    <w:p w14:paraId="3616AF86" w14:textId="5E04226E" w:rsidR="0066364F" w:rsidRPr="0066364F" w:rsidRDefault="0066364F" w:rsidP="0066364F">
      <w:r w:rsidRPr="0066364F">
        <w:t xml:space="preserve">Diese drei Defizite — fehlende Metriken, unzureichende </w:t>
      </w:r>
      <w:proofErr w:type="spellStart"/>
      <w:r w:rsidRPr="0066364F">
        <w:t>Observability</w:t>
      </w:r>
      <w:proofErr w:type="spellEnd"/>
      <w:r w:rsidRPr="0066364F">
        <w:t>, fehlende Orchestrierung — beschreiben zusammengenommen eine strukturelle Lücke: Für generative KI-Systeme existieren keine formalisierten, automatisierbaren Kontrollpunkte, die den Übergang zwischen Lebenszyklusphasen an prüfbare Qualitätskriterien und nachweisbare Evidenz binden. Damit fehlt eine zentrale Voraussetzung sowohl für die technische Qualitätssicherung als auch für die regulatorische Nachweisführung, die Gegenstand der dritten Problemdimension ist.</w:t>
      </w:r>
      <w:r w:rsidR="00776A1D">
        <w:t xml:space="preserve"> </w:t>
      </w:r>
      <w:r w:rsidR="00776A1D">
        <w:fldChar w:fldCharType="begin"/>
      </w:r>
      <w:r w:rsidR="00E64F0E">
        <w:instrText xml:space="preserve"> ADDIN ZOTERO_ITEM CSL_CITATION {"citationID":"V6UBATRo","properties":{"unsorted":false,"formattedCitation":"(Wang et al., 2025, S. 1\\uc0\\u8211{}4, 70)","plainCitation":"(Wang et al., 2025, S. 1–4, 70)","noteIndex":0},"citationItems":[{"id":14,"uris":["http://zotero.org/users/19646628/items/7PJ9IGLA"],"itemData":{"id":14,"type":"article","abstract":"The remarkable success of Large Language Models (LLMs) has illuminated a promising pathway toward achieving Artificial General Intelligence for both academic and industrial communities, owing to their unprecedented performance across various applications. As LLMs continue to gain prominence in both research and commercial domains, their security and safety implications have become a growing concern, not only for researchers and corporations but also for every nation. Currently, existing surveys on LLM safety primarily focus on specific stages of the LLM lifecycle, e.g., deployment phase or fine-tuning phase, lacking a comprehensive understanding of the entire \"lifechain\" of LLMs. To address this gap, this paper introduces, for the first time, the concept of \"full-stack\" safety to systematically consider safety issues throughout the entire process of LLM training, deployment, and eventual commercialization. Compared to the off-the-shelf LLM safety surveys, our work demonstrates several distinctive advantages: (I) Comprehensive Perspective. We define the complete LLM lifecycle as encompassing data preparation, pre-training, post-training, deployment and final commercialization. To our knowledge, this represents the first safety survey to encompass the entire lifecycle of LLMs. (II) Extensive Literature Support. Our research is grounded in an exhaustive review of over 800+ papers, ensuring comprehensive coverage and systematic organization of security issues within a more holistic understanding. (III) Unique Insights. Through systematic literature analysis, we have developed reliable roadmaps and perspectives for each chapter. Our work identifies promising research directions, including safety in data generation, alignment techniques, model editing, and LLM-based agent systems. These insights provide valuable guidance for researchers pursuing future work in this field.","DOI":"10.48550/ARXIV.2504.15585","license":"Creative Commons Attribution 4.0 International","note":"version: 4","publisher":"arXiv","source":"DOI.org (Datacite)","title":"A Comprehensive Survey in LLM(-Agent) Full Stack Safety: Data, Training and Deployment","title-short":"A Comprehensive Survey in LLM(-Agent) Full Stack Safety","URL":"https://arxiv.org/abs/2504.15585","author":[{"family":"Wang","given":"Kun"},{"family":"Zhang","given":"Guibin"},{"family":"Zhou","given":"Zhenhong"},{"family":"Wu","given":"Jiahao"},{"family":"Yu","given":"Miao"},{"family":"Zhao","given":"Shiqian"},{"family":"Yin","given":"Chenlong"},{"family":"Fu","given":"Jinhu"},{"family":"Yan","given":"Yibo"},{"family":"Luo","given":"Hanjun"},{"family":"Lin","given":"Liang"},{"family":"Xu","given":"Zhihao"},{"family":"Lu","given":"Haolang"},{"family":"Cao","given":"Xinye"},{"family":"Zhou","given":"Xinyun"},{"family":"Jin","given":"Weifei"},{"family":"Meng","given":"Fanci"},{"family":"Xu","given":"Shicheng"},{"family":"Mao","given":"Junyuan"},{"family":"Wang","given":"Yu"},{"family":"Wu","given":"Hao"},{"family":"Wang","given":"Minghe"},{"family":"Zhang","given":"Fan"},{"family":"Fang","given":"Junfeng"},{"family":"Qu","given":"Wenjie"},{"family":"Liu","given":"Yue"},{"family":"Liu","given":"Chengwei"},{"family":"Zhang","given":"Yifan"},{"family":"Li","given":"Qiankun"},{"family":"Guo","given":"Chongye"},{"family":"Qin","given":"Yalan"},{"family":"Fan","given":"Zhaoxin"},{"family":"Wang","given":"Kai"},{"family":"Ding","given":"Yi"},{"family":"Hong","given":"Donghai"},{"family":"Ji","given":"Jiaming"},{"family":"Lai","given":"Yingxin"},{"family":"Yu","given":"Zitong"},{"family":"Li","given":"Xinfeng"},{"family":"Jiang","given":"Yifan"},{"family":"Li","given":"Yanhui"},{"family":"Deng","given":"Xinyu"},{"family":"Wu","given":"Junlin"},{"family":"Wang","given":"Dongxia"},{"family":"Huang","given":"Yihao"},{"family":"Guo","given":"Yufei"},{"family":"Huang","given":"Jen-tse"},{"family":"Wang","given":"Qiufeng"},{"family":"Jin","given":"Xiaolong"},{"family":"Wang","given":"Wenxuan"},{"family":"Liu","given":"Dongrui"},{"family":"Yue","given":"Yanwei"},{"family":"Huang","given":"Wenke"},{"family":"Wan","given":"Guancheng"},{"family":"Chang","given":"Heng"},{"family":"Li","given":"Tianlin"},{"family":"Yu","given":"Yi"},{"family":"Li","given":"Chenghao"},{"family":"Li","given":"Jiawei"},{"family":"Bai","given":"Lei"},{"family":"Zhang","given":"Jie"},{"family":"Guo","given":"Qing"},{"family":"Wang","given":"Jingyi"},{"family":"Chen","given":"Tianlong"},{"family":"Zhou","given":"Joey Tianyi"},{"family":"Jia","given":"Xiaojun"},{"family":"Sun","given":"Weisong"},{"family":"Wu","given":"Cong"},{"family":"Chen","given":"Jing"},{"family":"Hu","given":"Xuming"},{"family":"Li","given":"Yiming"},{"family":"Wang","given":"Xiao"},{"family":"Zhang","given":"Ningyu"},{"family":"Tuan","given":"Luu Anh"},{"family":"Xu","given":"Guowen"},{"family":"Zhang","given":"Jiaheng"},{"family":"Zhang","given":"Tianwei"},{"family":"Ma","given":"Xingjun"},{"family":"Gu","given":"Jindong"},{"family":"Pang","given":"Liang"},{"family":"Wang","given":"Xiang"},{"family":"An","given":"Bo"},{"family":"Sun","given":"Jun"},{"family":"Bansal","given":"Mohit"},{"family":"Pan","given":"Shirui"},{"family":"Lyu","given":"Lingjuan"},{"family":"Elovici","given":"Yuval"},{"family":"Kailkhura","given":"Bhavya"},{"family":"Yang","given":"Yaodong"},{"family":"Li","given":"Hongwei"},{"family":"Xu","given":"Wenyuan"},{"family":"Sun","given":"Yizhou"},{"family":"Wang","given":"Wei"},{"family":"Li","given":"Qing"},{"family":"Tang","given":"Ke"},{"family":"Jiang","given":"Yu-Gang"},{"family":"Juefei-Xu","given":"Felix"},{"family":"Xiong","given":"Hui"},{"family":"Wang","given":"Xiaofeng"},{"family":"Tao","given":"Dacheng"},{"family":"Yu","given":"Philip S."},{"family":"Wen","given":"Qingsong"},{"family":"Liu","given":"Yang"}],"accessed":{"date-parts":[["2026",2,15]]},"issued":{"date-parts":[["2025"]]}},"locator":"1-4, 70","label":"page"}],"schema":"https://github.com/citation-style-language/schema/raw/master/csl-citation.json"} </w:instrText>
      </w:r>
      <w:r w:rsidR="00776A1D">
        <w:fldChar w:fldCharType="separate"/>
      </w:r>
      <w:r w:rsidR="00E64F0E" w:rsidRPr="00E64F0E">
        <w:rPr>
          <w:szCs w:val="24"/>
          <w:lang w:eastAsia="en-US"/>
          <w14:ligatures w14:val="standardContextual"/>
        </w:rPr>
        <w:t>(Wang et al., 2025, S. 1–4, 70)</w:t>
      </w:r>
      <w:r w:rsidR="00776A1D">
        <w:fldChar w:fldCharType="end"/>
      </w:r>
    </w:p>
    <w:p w14:paraId="506D1425" w14:textId="77777777" w:rsidR="00842B5D" w:rsidRPr="00842B5D" w:rsidRDefault="00842B5D" w:rsidP="00467837">
      <w:pPr>
        <w:pStyle w:val="berschrift3"/>
      </w:pPr>
      <w:bookmarkStart w:id="5" w:name="_Toc222521082"/>
      <w:r w:rsidRPr="00842B5D">
        <w:t>1.2.3 Problemdimension 3: Compliance-</w:t>
      </w:r>
      <w:proofErr w:type="spellStart"/>
      <w:r w:rsidRPr="00842B5D">
        <w:t>Operationalisierungslücke</w:t>
      </w:r>
      <w:proofErr w:type="spellEnd"/>
      <w:r w:rsidRPr="00842B5D">
        <w:t xml:space="preserve"> (EU AI Act)</w:t>
      </w:r>
      <w:bookmarkEnd w:id="5"/>
    </w:p>
    <w:p w14:paraId="03AABE90" w14:textId="77777777" w:rsidR="00842B5D" w:rsidRPr="00842B5D" w:rsidRDefault="00842B5D" w:rsidP="00467837">
      <w:r w:rsidRPr="00842B5D">
        <w:t xml:space="preserve">Problem. Selbst wenn ein integriertes </w:t>
      </w:r>
      <w:proofErr w:type="spellStart"/>
      <w:r w:rsidRPr="00842B5D">
        <w:t>GenAI</w:t>
      </w:r>
      <w:proofErr w:type="spellEnd"/>
      <w:r w:rsidRPr="00842B5D">
        <w:t>-Lifecycle-Framework (PD1) sowie belastbare Qualitätsmethoden (PD2) verfügbar wären, bleibt die regulatorische Nachweisbarkeit als eigenständige Engstelle bestehen. Der EU AI Act definiert für Hochrisiko-KI-Systeme verbindliche Anforderungen an ein Risikomanagementsystem über den gesamten Lebenszyklus (Art. 9), an Daten- und Daten-</w:t>
      </w:r>
      <w:proofErr w:type="spellStart"/>
      <w:r w:rsidRPr="00842B5D">
        <w:t>Governance</w:t>
      </w:r>
      <w:proofErr w:type="spellEnd"/>
      <w:r w:rsidRPr="00842B5D">
        <w:t xml:space="preserve"> (Art. 10), an Technische Dokumentation (Art. 11), Aufzeichnung/Protokollierung (Art. 12), Transparenz und Betreiberinformationen (Art. 13), menschliche Aufsicht (Art. 14) sowie Genauigkeit, Robustheit und Cybersicherheit (Art. 15) (Europäische Union, 2024, S. 56–61). Diese Normen sind jedoch primär als juristisch-normative Pflichten formuliert; sie liefern nicht automatisch eine technische Übersetzung in maschinenprüfbare Controls/</w:t>
      </w:r>
      <w:proofErr w:type="spellStart"/>
      <w:r w:rsidRPr="00842B5D">
        <w:t>Policies</w:t>
      </w:r>
      <w:proofErr w:type="spellEnd"/>
      <w:r w:rsidRPr="00842B5D">
        <w:t xml:space="preserve"> und eine durchgängige Evidenzkette für Audits.</w:t>
      </w:r>
    </w:p>
    <w:p w14:paraId="485D5C19" w14:textId="77777777" w:rsidR="00842B5D" w:rsidRPr="00842B5D" w:rsidRDefault="00842B5D" w:rsidP="00467837">
      <w:r w:rsidRPr="00842B5D">
        <w:lastRenderedPageBreak/>
        <w:t xml:space="preserve">Defizit 1 – Fehlende Übersetzung: von Normen zu automatisierbaren, prüfbaren Kontrollen. In der </w:t>
      </w:r>
      <w:proofErr w:type="spellStart"/>
      <w:r w:rsidRPr="00842B5D">
        <w:t>Trustworthy</w:t>
      </w:r>
      <w:proofErr w:type="spellEnd"/>
      <w:r w:rsidRPr="00842B5D">
        <w:t xml:space="preserve">-AI-Literatur wird explizit hervorgehoben, dass eine klare Abbildung von Prinzipien und Anforderungen in operative Protokolle, die automatisiert und verifiziert werden können, nicht konsistent existiert (Díaz-Rodríguez et al., 2023, S. 14). Gleichzeitig wird die </w:t>
      </w:r>
      <w:proofErr w:type="spellStart"/>
      <w:r w:rsidRPr="00842B5D">
        <w:t>Governance</w:t>
      </w:r>
      <w:proofErr w:type="spellEnd"/>
      <w:r w:rsidRPr="00842B5D">
        <w:t>-Forschung als noch deutlich unterentwickelt gegenüber der Geschwindigkeit der technologischen Entwicklung beschrieben (</w:t>
      </w:r>
      <w:proofErr w:type="spellStart"/>
      <w:r w:rsidRPr="00842B5D">
        <w:t>Taeihagh</w:t>
      </w:r>
      <w:proofErr w:type="spellEnd"/>
      <w:r w:rsidRPr="00842B5D">
        <w:t xml:space="preserve">, 2025, S. 2). Verschärfend kommt hinzu, dass die schnelle technologische Entwicklung regulatorische Lücken erzeugt hat, die zu einer reaktiven statt vorausschauenden und adaptiven </w:t>
      </w:r>
      <w:proofErr w:type="spellStart"/>
      <w:r w:rsidRPr="00842B5D">
        <w:t>Governance</w:t>
      </w:r>
      <w:proofErr w:type="spellEnd"/>
      <w:r w:rsidRPr="00842B5D">
        <w:t xml:space="preserve"> geführt haben (</w:t>
      </w:r>
      <w:proofErr w:type="spellStart"/>
      <w:r w:rsidRPr="00842B5D">
        <w:t>Taeihagh</w:t>
      </w:r>
      <w:proofErr w:type="spellEnd"/>
      <w:r w:rsidRPr="00842B5D">
        <w:t xml:space="preserve">, 2025, S. 7). Für die praktische Umsetzung bedeutet das: Zwischen den abstrakten AI-Act-Pflichten (z. B. „Risikomanagementsystem", „angemessene Transparenz", „wirksame menschliche Aufsicht") und konkreten Pipeline-Artefakten (Checks, Gate-Kriterien, Policy-Regeln, </w:t>
      </w:r>
      <w:proofErr w:type="spellStart"/>
      <w:r w:rsidRPr="00842B5D">
        <w:t>Evidence</w:t>
      </w:r>
      <w:proofErr w:type="spellEnd"/>
      <w:r w:rsidRPr="00842B5D">
        <w:t>-Logs) besteht eine systematische Lücke (Europäische Union, 2024, S. 56–60).</w:t>
      </w:r>
    </w:p>
    <w:p w14:paraId="40A3175B" w14:textId="77777777" w:rsidR="00842B5D" w:rsidRPr="00842B5D" w:rsidRDefault="00842B5D" w:rsidP="00467837">
      <w:r w:rsidRPr="00842B5D">
        <w:t xml:space="preserve">Defizit 2 – Dokumentations- und Evidenzanforderungen sind hoch, aber operativ schwer skalierbar. Der </w:t>
      </w:r>
      <w:proofErr w:type="gramStart"/>
      <w:r w:rsidRPr="00842B5D">
        <w:t>AI Act</w:t>
      </w:r>
      <w:proofErr w:type="gramEnd"/>
      <w:r w:rsidRPr="00842B5D">
        <w:t xml:space="preserve"> verlangt u. a. die Erstellung und Aktualisierung technischer Dokumentation vor Inverkehrbringen/Inbetriebnahme (Art. 11) sowie automatische Protokollierung während des Systemlebenszyklus (Art. 12) (Europäische Union, 2024, S. 58–59). Empirische Software-Engineering-Arbeit zeigt, dass genau diese Technical-</w:t>
      </w:r>
      <w:proofErr w:type="spellStart"/>
      <w:r w:rsidRPr="00842B5D">
        <w:t>Documentation</w:t>
      </w:r>
      <w:proofErr w:type="spellEnd"/>
      <w:r w:rsidRPr="00842B5D">
        <w:t>-Compliance organisatorisch anspruchsvoll ist: Sie erfordert kombinierte rechtliche und technische Expertise, die in der Praxis selten in ausreichender Tiefe vorhanden ist, und erzeugt entsprechend Kosten- und Aufwandsdruck – insbesondere für kleinere Anbieter (</w:t>
      </w:r>
      <w:proofErr w:type="spellStart"/>
      <w:r w:rsidRPr="00842B5D">
        <w:t>Sovrano</w:t>
      </w:r>
      <w:proofErr w:type="spellEnd"/>
      <w:r w:rsidRPr="00842B5D">
        <w:t xml:space="preserve"> et al., 2025, S. 1–2). Zudem können selbst gut gemeinte Erleichterungen (z. B. „</w:t>
      </w:r>
      <w:proofErr w:type="spellStart"/>
      <w:r w:rsidRPr="00842B5D">
        <w:t>equivalent</w:t>
      </w:r>
      <w:proofErr w:type="spellEnd"/>
      <w:r w:rsidRPr="00842B5D">
        <w:t xml:space="preserve"> </w:t>
      </w:r>
      <w:proofErr w:type="spellStart"/>
      <w:r w:rsidRPr="00842B5D">
        <w:t>documentation</w:t>
      </w:r>
      <w:proofErr w:type="spellEnd"/>
      <w:r w:rsidRPr="00842B5D">
        <w:t>") zusätzliche Ambiguität und Genehmigungsabhängigkeit erzeugen, was die Operationalisierung weiter verkompliziert (</w:t>
      </w:r>
      <w:proofErr w:type="spellStart"/>
      <w:r w:rsidRPr="00842B5D">
        <w:t>Sovrano</w:t>
      </w:r>
      <w:proofErr w:type="spellEnd"/>
      <w:r w:rsidRPr="00842B5D">
        <w:t xml:space="preserve"> et al., 2025, S. 31). Damit bleibt Compliance-Nachweisführung häufig reaktiv (Dokumentation wird im Nachgang „zusammengeschrieben") statt als kontinuierlicher, automatisierter Prozess entlang der Pipeline.</w:t>
      </w:r>
    </w:p>
    <w:p w14:paraId="4BC3C397" w14:textId="77777777" w:rsidR="00842B5D" w:rsidRPr="00842B5D" w:rsidRDefault="00842B5D" w:rsidP="00467837">
      <w:r w:rsidRPr="00842B5D">
        <w:t>Defizit 3 – Compliance betrifft ein Regime-Bündel und braucht technische Durchsetzung, ist aber nicht systematisch „</w:t>
      </w:r>
      <w:proofErr w:type="spellStart"/>
      <w:r w:rsidRPr="00842B5D">
        <w:t>as</w:t>
      </w:r>
      <w:proofErr w:type="spellEnd"/>
      <w:r w:rsidRPr="00842B5D">
        <w:t xml:space="preserve">-Code" integriert. Für </w:t>
      </w:r>
      <w:proofErr w:type="spellStart"/>
      <w:r w:rsidRPr="00842B5D">
        <w:t>GenAI</w:t>
      </w:r>
      <w:proofErr w:type="spellEnd"/>
      <w:r w:rsidRPr="00842B5D">
        <w:t xml:space="preserve"> verschränkt sich AI-Act-Compliance in der Praxis mit weiteren Rechtsbereichen (z. B. IP, Datenschutz, </w:t>
      </w:r>
      <w:proofErr w:type="spellStart"/>
      <w:r w:rsidRPr="00842B5D">
        <w:t>Cybersecurity</w:t>
      </w:r>
      <w:proofErr w:type="spellEnd"/>
      <w:r w:rsidRPr="00842B5D">
        <w:t xml:space="preserve">). </w:t>
      </w:r>
      <w:proofErr w:type="spellStart"/>
      <w:r w:rsidRPr="00842B5D">
        <w:t>Novelli</w:t>
      </w:r>
      <w:proofErr w:type="spellEnd"/>
      <w:r w:rsidRPr="00842B5D">
        <w:t xml:space="preserve"> et al. zeigen etwa, dass der AI-Act-Rahmen bei GPAI/</w:t>
      </w:r>
      <w:proofErr w:type="spellStart"/>
      <w:r w:rsidRPr="00842B5D">
        <w:t>GenAI</w:t>
      </w:r>
      <w:proofErr w:type="spellEnd"/>
      <w:r w:rsidRPr="00842B5D">
        <w:t xml:space="preserve"> zusätzliche Transparenz- und Dokumentationspflichten adressiert (u. a. Training-Data-Transparenz und Dokumentationsanforderungen im Kontext von Art. 53) (</w:t>
      </w:r>
      <w:proofErr w:type="spellStart"/>
      <w:r w:rsidRPr="00842B5D">
        <w:t>Novelli</w:t>
      </w:r>
      <w:proofErr w:type="spellEnd"/>
      <w:r w:rsidRPr="00842B5D">
        <w:t xml:space="preserve"> et al., 2024, S. 2) und dass Compliance-Pflichten teilweise explizit technische und organisatorische Maßnahmen nahelegen, etwa zur Umsetzung von Rechteinhaber-</w:t>
      </w:r>
      <w:proofErr w:type="spellStart"/>
      <w:r w:rsidRPr="00842B5D">
        <w:t>Opt</w:t>
      </w:r>
      <w:proofErr w:type="spellEnd"/>
      <w:r w:rsidRPr="00842B5D">
        <w:t>-outs (</w:t>
      </w:r>
      <w:proofErr w:type="spellStart"/>
      <w:r w:rsidRPr="00842B5D">
        <w:t>Novelli</w:t>
      </w:r>
      <w:proofErr w:type="spellEnd"/>
      <w:r w:rsidRPr="00842B5D">
        <w:t xml:space="preserve"> et al., 2024, S. 10). Parallel wird betont, dass Cybersicherheitsregime (z. </w:t>
      </w:r>
      <w:r w:rsidRPr="00842B5D">
        <w:lastRenderedPageBreak/>
        <w:t xml:space="preserve">B. CRA) </w:t>
      </w:r>
      <w:proofErr w:type="spellStart"/>
      <w:r w:rsidRPr="00842B5D">
        <w:t>GenAI</w:t>
      </w:r>
      <w:proofErr w:type="spellEnd"/>
      <w:r w:rsidRPr="00842B5D">
        <w:t xml:space="preserve"> expliziter berücksichtigen und mit dem risikobasierten AI-Act-Ansatz verzahnt werden sollten (</w:t>
      </w:r>
      <w:proofErr w:type="spellStart"/>
      <w:r w:rsidRPr="00842B5D">
        <w:t>Novelli</w:t>
      </w:r>
      <w:proofErr w:type="spellEnd"/>
      <w:r w:rsidRPr="00842B5D">
        <w:t xml:space="preserve"> et al., 2024, S. 14). Zusätzlich verstärken EU-Strategien zur Daten- und Cloud-Souveränität die regulatorische und organisatorische Komplexität, indem sie regulatorische Anforderungen mit industriepolitischen Zielen koppeln (</w:t>
      </w:r>
      <w:proofErr w:type="spellStart"/>
      <w:r w:rsidRPr="00842B5D">
        <w:t>Blancato</w:t>
      </w:r>
      <w:proofErr w:type="spellEnd"/>
      <w:r w:rsidRPr="00842B5D">
        <w:t xml:space="preserve">, 2024, S. 12–14). Obwohl in </w:t>
      </w:r>
      <w:proofErr w:type="spellStart"/>
      <w:r w:rsidRPr="00842B5D">
        <w:t>DevSecOps</w:t>
      </w:r>
      <w:proofErr w:type="spellEnd"/>
      <w:r w:rsidRPr="00842B5D">
        <w:t>-Kontexten Security-Controls bereits als automatisierte Practices in Pipelines etabliert sind – etwa automatisierte Tests, Infrastructure-</w:t>
      </w:r>
      <w:proofErr w:type="spellStart"/>
      <w:r w:rsidRPr="00842B5D">
        <w:t>as</w:t>
      </w:r>
      <w:proofErr w:type="spellEnd"/>
      <w:r w:rsidRPr="00842B5D">
        <w:t>-Code, Compliance-</w:t>
      </w:r>
      <w:proofErr w:type="spellStart"/>
      <w:r w:rsidRPr="00842B5D">
        <w:t>as</w:t>
      </w:r>
      <w:proofErr w:type="spellEnd"/>
      <w:r w:rsidRPr="00842B5D">
        <w:t>-Code und kontinuierliches Monitoring (Sinan et al., 2025, S. 1–6) –, adressieren diese Ansätze primär Infrastruktur- und allgemeine Sicherheitskontrollen wie Verschlüsselung, Zugriffssteuerung oder Netzwerksegmentierung (Sinan et al., 2025, S. 2–3). Ein vergleichbar systematischer Ansatz, der AI-Act-spezifische Pflichten – wie Bias-Evaluation, Erklärbarkeit oder kontinuierliches Risikomonitoring – konsistent in Policy-/Compliance-</w:t>
      </w:r>
      <w:proofErr w:type="spellStart"/>
      <w:r w:rsidRPr="00842B5D">
        <w:t>as</w:t>
      </w:r>
      <w:proofErr w:type="spellEnd"/>
      <w:r w:rsidRPr="00842B5D">
        <w:t xml:space="preserve">-Code überführt und über den </w:t>
      </w:r>
      <w:proofErr w:type="spellStart"/>
      <w:r w:rsidRPr="00842B5D">
        <w:t>GenAI</w:t>
      </w:r>
      <w:proofErr w:type="spellEnd"/>
      <w:r w:rsidRPr="00842B5D">
        <w:t>-Lifecycle orchestriert, ist in der bestehenden Literatur nicht dokumentiert.</w:t>
      </w:r>
    </w:p>
    <w:p w14:paraId="636EDBD2" w14:textId="4A4DBEBA" w:rsidR="00383884" w:rsidRPr="00383884" w:rsidRDefault="00842B5D" w:rsidP="00383884">
      <w:r w:rsidRPr="00842B5D">
        <w:t xml:space="preserve">Ergebnis. Aufgrund dieser drei Defizite kann die Frage, ob EU-AI-Act-Compliance erfüllt und </w:t>
      </w:r>
      <w:proofErr w:type="spellStart"/>
      <w:r w:rsidRPr="00842B5D">
        <w:t>auditierbar</w:t>
      </w:r>
      <w:proofErr w:type="spellEnd"/>
      <w:r w:rsidRPr="00842B5D">
        <w:t xml:space="preserve"> nachgewiesen ist, derzeit nicht zuverlässig automatisiert beantwortet werden. Damit entsteht eine zentrale Forschungslücke: Es fehlt ein Ansatz, der AI-Act-Pflichten (insb. Art. 9–15) in maschinenprüfbare </w:t>
      </w:r>
      <w:proofErr w:type="spellStart"/>
      <w:r w:rsidRPr="00842B5D">
        <w:t>Policies</w:t>
      </w:r>
      <w:proofErr w:type="spellEnd"/>
      <w:r w:rsidRPr="00842B5D">
        <w:t xml:space="preserve">/Controls übersetzt, diese als Quality/Compliance Gates phasenübergreifend orchestriert und die erforderliche Evidenz (Dokumentation, Logs, </w:t>
      </w:r>
      <w:proofErr w:type="spellStart"/>
      <w:r w:rsidRPr="00842B5D">
        <w:t>Oversight</w:t>
      </w:r>
      <w:proofErr w:type="spellEnd"/>
      <w:r w:rsidRPr="00842B5D">
        <w:t xml:space="preserve">-Nachweise) kontinuierlich bereitstellt (Europäische Union, 2024, S. 56–61; </w:t>
      </w:r>
      <w:proofErr w:type="spellStart"/>
      <w:r w:rsidRPr="00842B5D">
        <w:t>Sovrano</w:t>
      </w:r>
      <w:proofErr w:type="spellEnd"/>
      <w:r w:rsidRPr="00842B5D">
        <w:t xml:space="preserve"> et al., 2025, S. 1–2; Díaz-Rodríguez et al., 2023, S. 14).</w:t>
      </w:r>
    </w:p>
    <w:p w14:paraId="1189B26F" w14:textId="77777777" w:rsidR="0006404C" w:rsidRPr="0006404C" w:rsidRDefault="0006404C" w:rsidP="0006404C">
      <w:r w:rsidRPr="0006404C">
        <w:rPr>
          <w:b/>
          <w:bCs/>
        </w:rPr>
        <w:t>Synthese der Problemdimensionen und resultierende Forschungslücke</w:t>
      </w:r>
    </w:p>
    <w:p w14:paraId="6A8EF695" w14:textId="77777777" w:rsidR="0006404C" w:rsidRPr="0006404C" w:rsidRDefault="0006404C" w:rsidP="0006404C">
      <w:r w:rsidRPr="0006404C">
        <w:t xml:space="preserve">Die drei Problemdimensionen beschreiben zusammengenommen eine kumulative Lücke: Bestehende </w:t>
      </w:r>
      <w:proofErr w:type="spellStart"/>
      <w:r w:rsidRPr="0006404C">
        <w:t>Operationalisierungsframeworks</w:t>
      </w:r>
      <w:proofErr w:type="spellEnd"/>
      <w:r w:rsidRPr="0006404C">
        <w:t xml:space="preserve"> für generative KI-Systeme sind fragmentiert und adressieren isolierte Lebenszyklusphasen, ohne ein integriertes End-</w:t>
      </w:r>
      <w:proofErr w:type="spellStart"/>
      <w:r w:rsidRPr="0006404C">
        <w:t>to</w:t>
      </w:r>
      <w:proofErr w:type="spellEnd"/>
      <w:r w:rsidRPr="0006404C">
        <w:t xml:space="preserve">-End-Management für den Enterprise-Kontext bereitzustellen (PD1). Innerhalb dieser fragmentierten Ansätze fehlen darüber hinaus formalisierte, automatisierbare Qualitätssicherungsmechanismen, die der stochastischen Natur generativer Systeme methodisch gerecht werden — weder hinsichtlich standardisierter </w:t>
      </w:r>
      <w:proofErr w:type="spellStart"/>
      <w:r w:rsidRPr="0006404C">
        <w:t>Evaluationsmetriken</w:t>
      </w:r>
      <w:proofErr w:type="spellEnd"/>
      <w:r w:rsidRPr="0006404C">
        <w:t xml:space="preserve"> noch hinsichtlich der </w:t>
      </w:r>
      <w:proofErr w:type="spellStart"/>
      <w:r w:rsidRPr="0006404C">
        <w:t>Observability</w:t>
      </w:r>
      <w:proofErr w:type="spellEnd"/>
      <w:r w:rsidRPr="0006404C">
        <w:t xml:space="preserve">-Infrastruktur oder der phasenübergreifenden Orchestrierung von Kontrollpunkten (PD2). Selbst wenn beide Defizite adressiert wären, bliebe die regulatorische Nachweisbarkeit als eigenständige Engstelle bestehen, da eine systematische Übersetzung der EU-AI-Act-Anforderungen in maschinenprüfbare </w:t>
      </w:r>
      <w:proofErr w:type="spellStart"/>
      <w:r w:rsidRPr="0006404C">
        <w:t>Policies</w:t>
      </w:r>
      <w:proofErr w:type="spellEnd"/>
      <w:r w:rsidRPr="0006404C">
        <w:t>, eine skalierbare Evidenzerzeugung und eine durchgängige Compliance-Orchestrierung entlang des Lebenszyklus in der bestehenden Literatur nicht dokumentiert sind (PD3).</w:t>
      </w:r>
    </w:p>
    <w:p w14:paraId="09969D0E" w14:textId="77777777" w:rsidR="0006404C" w:rsidRPr="0006404C" w:rsidRDefault="0006404C" w:rsidP="007304CD">
      <w:r w:rsidRPr="0006404C">
        <w:lastRenderedPageBreak/>
        <w:t xml:space="preserve">Diese dreifache Lücke — strukturell (Lifecycle), methodisch (Qualitätssicherung), regulatorisch (Compliance-Operationalisierung) — begründet den Bedarf an einer integrierten Enterprise-Referenzarchitektur, die </w:t>
      </w:r>
      <w:proofErr w:type="spellStart"/>
      <w:r w:rsidRPr="0006404C">
        <w:t>cloud</w:t>
      </w:r>
      <w:proofErr w:type="spellEnd"/>
      <w:r w:rsidRPr="0006404C">
        <w:t xml:space="preserve">-native </w:t>
      </w:r>
      <w:proofErr w:type="spellStart"/>
      <w:r w:rsidRPr="0006404C">
        <w:t>GenAIOps</w:t>
      </w:r>
      <w:proofErr w:type="spellEnd"/>
      <w:r w:rsidRPr="0006404C">
        <w:t xml:space="preserve">-Praktiken mit automatisierten Quality Gates verbindet und die Anforderungen des EU AI Act als prüfbare Kontrollmechanismen in CI/CD/CT-Pipelines operationalisiert. Die Entwicklung dieser Architektur als generalisierbares, wiederverwendbares Artefakt im Sinne des Design Science Research nach </w:t>
      </w:r>
      <w:proofErr w:type="spellStart"/>
      <w:r w:rsidRPr="0006404C">
        <w:t>Hevner</w:t>
      </w:r>
      <w:proofErr w:type="spellEnd"/>
      <w:r w:rsidRPr="0006404C">
        <w:t xml:space="preserve"> et al. (2004) ist Gegenstand der </w:t>
      </w:r>
      <w:r w:rsidRPr="000F1B98">
        <w:t>vorliegenden Arbeit.</w:t>
      </w:r>
    </w:p>
    <w:p w14:paraId="5B9012D5" w14:textId="77777777" w:rsidR="000F1B98" w:rsidRPr="000F1B98" w:rsidRDefault="000F1B98" w:rsidP="0073761D">
      <w:pPr>
        <w:pStyle w:val="berschrift2"/>
      </w:pPr>
      <w:bookmarkStart w:id="6" w:name="_Toc222521083"/>
      <w:r w:rsidRPr="000F1B98">
        <w:t>1.3 Zielsetzung der Arbeit und Leitfragen</w:t>
      </w:r>
      <w:bookmarkEnd w:id="6"/>
    </w:p>
    <w:p w14:paraId="412F6EB0" w14:textId="77777777" w:rsidR="000F1B98" w:rsidRPr="000F1B98" w:rsidRDefault="000F1B98" w:rsidP="000F1B98">
      <w:r w:rsidRPr="000F1B98">
        <w:t xml:space="preserve">Ziel der vorliegenden Arbeit ist die Entwicklung einer modularen, </w:t>
      </w:r>
      <w:proofErr w:type="spellStart"/>
      <w:r w:rsidRPr="000F1B98">
        <w:t>cloud</w:t>
      </w:r>
      <w:proofErr w:type="spellEnd"/>
      <w:r w:rsidRPr="000F1B98">
        <w:t>-nativen Enterprise-Referenzarchitektur für den produktiven Betrieb generativer KI-Systeme, die automatisierte Quality Gates als zentrale Steuerungsmechanismen entlang des End-</w:t>
      </w:r>
      <w:proofErr w:type="spellStart"/>
      <w:r w:rsidRPr="000F1B98">
        <w:t>to</w:t>
      </w:r>
      <w:proofErr w:type="spellEnd"/>
      <w:r w:rsidRPr="000F1B98">
        <w:t xml:space="preserve">-End-Lebenszyklus integriert und die Anforderungen des EU AI Act systematisch operationalisiert. Das Artefakt wird im Sinne des Design Science Research nach </w:t>
      </w:r>
      <w:proofErr w:type="spellStart"/>
      <w:r w:rsidRPr="000F1B98">
        <w:t>Hevner</w:t>
      </w:r>
      <w:proofErr w:type="spellEnd"/>
      <w:r w:rsidRPr="000F1B98">
        <w:t xml:space="preserve"> et al. (2004) als generalisierbares, wiederverwendbares Designwissen konzipiert — nicht als unternehmensspezifische Implementierung, sondern als übertragbare Referenzarchitektur mit expliziten Design-Prinzipien (DP-1 bis DP-n).</w:t>
      </w:r>
    </w:p>
    <w:p w14:paraId="53B632B3" w14:textId="77777777" w:rsidR="000F1B98" w:rsidRPr="000F1B98" w:rsidRDefault="000F1B98" w:rsidP="000F1B98">
      <w:r w:rsidRPr="000F1B98">
        <w:t xml:space="preserve">Die Architektur umfasst drei integrierte Bestandteile: (1) ein Schichten- und Modulmodell, das die zentralen Funktionsbereiche </w:t>
      </w:r>
      <w:proofErr w:type="spellStart"/>
      <w:r w:rsidRPr="000F1B98">
        <w:t>cloud</w:t>
      </w:r>
      <w:proofErr w:type="spellEnd"/>
      <w:r w:rsidRPr="000F1B98">
        <w:t xml:space="preserve">-nativer </w:t>
      </w:r>
      <w:proofErr w:type="spellStart"/>
      <w:r w:rsidRPr="000F1B98">
        <w:t>GenAIOps</w:t>
      </w:r>
      <w:proofErr w:type="spellEnd"/>
      <w:r w:rsidRPr="000F1B98">
        <w:t xml:space="preserve">-Umgebungen strukturiert (u. a. Data, Model, </w:t>
      </w:r>
      <w:proofErr w:type="spellStart"/>
      <w:r w:rsidRPr="000F1B98">
        <w:t>Serving</w:t>
      </w:r>
      <w:proofErr w:type="spellEnd"/>
      <w:r w:rsidRPr="000F1B98">
        <w:t xml:space="preserve">, Monitoring, Security, </w:t>
      </w:r>
      <w:proofErr w:type="spellStart"/>
      <w:r w:rsidRPr="000F1B98">
        <w:t>Governance</w:t>
      </w:r>
      <w:proofErr w:type="spellEnd"/>
      <w:r w:rsidRPr="000F1B98">
        <w:t xml:space="preserve">, </w:t>
      </w:r>
      <w:proofErr w:type="spellStart"/>
      <w:r w:rsidRPr="000F1B98">
        <w:t>Platform</w:t>
      </w:r>
      <w:proofErr w:type="spellEnd"/>
      <w:r w:rsidRPr="000F1B98">
        <w:t>), (2) ein Quality-Gate-Framework, das Kontrollpunkte entlang dreier Dimensionen — strategisch (Lifecycle-</w:t>
      </w:r>
      <w:proofErr w:type="spellStart"/>
      <w:r w:rsidRPr="000F1B98">
        <w:t>Governance</w:t>
      </w:r>
      <w:proofErr w:type="spellEnd"/>
      <w:r w:rsidRPr="000F1B98">
        <w:t xml:space="preserve">), technisch (Modellqualität, Performance, </w:t>
      </w:r>
      <w:proofErr w:type="spellStart"/>
      <w:r w:rsidRPr="000F1B98">
        <w:t>Safety</w:t>
      </w:r>
      <w:proofErr w:type="spellEnd"/>
      <w:r w:rsidRPr="000F1B98">
        <w:t>) und Compliance (EU-AI-Act-Anforderungen) — formalisiert, sowie (3) eine Einbettungslogik, die diese Gates als Policy-</w:t>
      </w:r>
      <w:proofErr w:type="spellStart"/>
      <w:r w:rsidRPr="000F1B98">
        <w:t>as</w:t>
      </w:r>
      <w:proofErr w:type="spellEnd"/>
      <w:r w:rsidRPr="000F1B98">
        <w:t>-Code- und Compliance-</w:t>
      </w:r>
      <w:proofErr w:type="spellStart"/>
      <w:r w:rsidRPr="000F1B98">
        <w:t>as</w:t>
      </w:r>
      <w:proofErr w:type="spellEnd"/>
      <w:r w:rsidRPr="000F1B98">
        <w:t>-Code-Mechanismen in CI/CD/CT-Pipelines verankert, einschließlich definierter Trigger, Prüfkriterien, Evidenzartefakte und Freigabeentscheidungen.</w:t>
      </w:r>
    </w:p>
    <w:p w14:paraId="0FC3D1ED" w14:textId="77777777" w:rsidR="000F1B98" w:rsidRPr="000F1B98" w:rsidRDefault="000F1B98" w:rsidP="000F1B98">
      <w:r w:rsidRPr="000F1B98">
        <w:t xml:space="preserve">Der Erreichungsgrad der Zielsetzung wird anhand einer vierstufigen Evaluation überprüft: einem Requirements-Coverage-Check, der die Rückverfolgbarkeit zwischen abgeleiteten Anforderungen und Architekturkomponenten sicherstellt; einem </w:t>
      </w:r>
      <w:proofErr w:type="spellStart"/>
      <w:r w:rsidRPr="000F1B98">
        <w:t>szenariobasierten</w:t>
      </w:r>
      <w:proofErr w:type="spellEnd"/>
      <w:r w:rsidRPr="000F1B98">
        <w:t xml:space="preserve"> Walkthrough am Anwendungsfall eines Ambient AI Scribe; einer prototypischen Implementierung (Proof </w:t>
      </w:r>
      <w:proofErr w:type="spellStart"/>
      <w:r w:rsidRPr="000F1B98">
        <w:t>of</w:t>
      </w:r>
      <w:proofErr w:type="spellEnd"/>
      <w:r w:rsidRPr="000F1B98">
        <w:t xml:space="preserve"> Concept), die exemplarisch ein technisches und ein Compliance Gate demonstriert; sowie leitfadengestützten Experteninterviews mit Domänenexperten aus Wissenschaft und Praxis.</w:t>
      </w:r>
    </w:p>
    <w:p w14:paraId="66591CDB" w14:textId="77777777" w:rsidR="000F1B98" w:rsidRPr="000F1B98" w:rsidRDefault="000F1B98" w:rsidP="000F1B98">
      <w:r w:rsidRPr="000F1B98">
        <w:t>Aus der in Abschnitt 1.2 identifizierten Forschungslücke leiten sich folgende Forschungsfragen ab:</w:t>
      </w:r>
    </w:p>
    <w:p w14:paraId="03B4DA66" w14:textId="77777777" w:rsidR="000F1B98" w:rsidRPr="000F1B98" w:rsidRDefault="000F1B98" w:rsidP="000F1B98">
      <w:r w:rsidRPr="00F25896">
        <w:rPr>
          <w:b/>
          <w:bCs/>
        </w:rPr>
        <w:t>Hauptforschungsfrage (HRQ):</w:t>
      </w:r>
      <w:r w:rsidRPr="000F1B98">
        <w:t xml:space="preserve"> Wie muss eine </w:t>
      </w:r>
      <w:proofErr w:type="spellStart"/>
      <w:r w:rsidRPr="000F1B98">
        <w:t>cloud</w:t>
      </w:r>
      <w:proofErr w:type="spellEnd"/>
      <w:r w:rsidRPr="000F1B98">
        <w:t>-native Enterprise-Referenzarchitektur gestaltet sein, damit automatisierte Quality Gates den End-</w:t>
      </w:r>
      <w:proofErr w:type="spellStart"/>
      <w:r w:rsidRPr="000F1B98">
        <w:t>to</w:t>
      </w:r>
      <w:proofErr w:type="spellEnd"/>
      <w:r w:rsidRPr="000F1B98">
        <w:t>-End-</w:t>
      </w:r>
      <w:r w:rsidRPr="000F1B98">
        <w:lastRenderedPageBreak/>
        <w:t>Lebenszyklus generativer KI-Systeme steuern und die kontinuierliche Einhaltung der Anforderungen des EU AI Act systematisch unterstützen?</w:t>
      </w:r>
    </w:p>
    <w:p w14:paraId="4C2B308E" w14:textId="77777777" w:rsidR="000F1B98" w:rsidRPr="000F1B98" w:rsidRDefault="000F1B98" w:rsidP="000F1B98">
      <w:r w:rsidRPr="00F25896">
        <w:rPr>
          <w:b/>
          <w:bCs/>
        </w:rPr>
        <w:t>RQ1:</w:t>
      </w:r>
      <w:r w:rsidRPr="000F1B98">
        <w:t xml:space="preserve"> Welche technischen, organisatorischen und regulatorischen Anforderungen ergeben sich an den produktiven Betrieb generativer KI-Systeme in </w:t>
      </w:r>
      <w:proofErr w:type="spellStart"/>
      <w:r w:rsidRPr="000F1B98">
        <w:t>cloud</w:t>
      </w:r>
      <w:proofErr w:type="spellEnd"/>
      <w:r w:rsidRPr="000F1B98">
        <w:t>-nativen Enterprise-Umgebungen unter Berücksichtigung des EU AI Act?</w:t>
      </w:r>
    </w:p>
    <w:p w14:paraId="2FF28596" w14:textId="77777777" w:rsidR="000F1B98" w:rsidRPr="000F1B98" w:rsidRDefault="000F1B98" w:rsidP="000F1B98">
      <w:r w:rsidRPr="00F25896">
        <w:rPr>
          <w:b/>
          <w:bCs/>
        </w:rPr>
        <w:t>RQ2:</w:t>
      </w:r>
      <w:r w:rsidRPr="000F1B98">
        <w:t xml:space="preserve"> Welche Design-Prinzipien und Architekturbausteine sind erforderlich, um ein integriertes Quality-Gate-Framework entlang des </w:t>
      </w:r>
      <w:proofErr w:type="spellStart"/>
      <w:r w:rsidRPr="000F1B98">
        <w:t>GenAI</w:t>
      </w:r>
      <w:proofErr w:type="spellEnd"/>
      <w:r w:rsidRPr="000F1B98">
        <w:t xml:space="preserve">-Lebenszyklus in eine </w:t>
      </w:r>
      <w:proofErr w:type="spellStart"/>
      <w:r w:rsidRPr="000F1B98">
        <w:t>cloud</w:t>
      </w:r>
      <w:proofErr w:type="spellEnd"/>
      <w:r w:rsidRPr="000F1B98">
        <w:t>-native Betriebsumgebung einzubetten?</w:t>
      </w:r>
    </w:p>
    <w:p w14:paraId="58D8155D" w14:textId="29C55A30" w:rsidR="00383884" w:rsidRPr="00383884" w:rsidRDefault="000F1B98" w:rsidP="00383884">
      <w:r w:rsidRPr="00F25896">
        <w:rPr>
          <w:b/>
          <w:bCs/>
        </w:rPr>
        <w:t>RQ3:</w:t>
      </w:r>
      <w:r w:rsidRPr="000F1B98">
        <w:t xml:space="preserve"> Inwieweit erfüllt die entwickelte Referenzarchitektur die abgeleiteten Anforderungen, und welche Stärken, Schwächen und Anpassungsbedarfe zeigen sich bei der prototypischen Anwendung und der Bewertung durch Domänenexperten?</w:t>
      </w:r>
    </w:p>
    <w:p w14:paraId="34D983F9" w14:textId="74CFBE58" w:rsidR="003E3F88" w:rsidRPr="003E3F88" w:rsidRDefault="003E3F88" w:rsidP="0073761D">
      <w:pPr>
        <w:pStyle w:val="berschrift2"/>
      </w:pPr>
      <w:bookmarkStart w:id="7" w:name="_Toc222521084"/>
      <w:r w:rsidRPr="003E3F88">
        <w:t>1.4 Methode</w:t>
      </w:r>
      <w:bookmarkEnd w:id="7"/>
      <w:r w:rsidRPr="003E3F88">
        <w:t xml:space="preserve"> </w:t>
      </w:r>
    </w:p>
    <w:p w14:paraId="4D9B39DD" w14:textId="77777777" w:rsidR="00152D33" w:rsidRDefault="003E3F88" w:rsidP="007304CD">
      <w:r w:rsidRPr="003E3F88">
        <w:t>Die vorliegende Arbeit folgt dem Design Science Research (DSR)-Paradigma, das auf die Konstruktion und Evaluation zweckgerichteter IT-Artefakte zur Lösung identifizierter organisationaler Probleme ausgerichtet ist (</w:t>
      </w:r>
      <w:proofErr w:type="spellStart"/>
      <w:r w:rsidRPr="003E3F88">
        <w:t>Hevner</w:t>
      </w:r>
      <w:proofErr w:type="spellEnd"/>
      <w:r w:rsidRPr="003E3F88">
        <w:t xml:space="preserve"> et al., 2004, S. 7</w:t>
      </w:r>
    </w:p>
    <w:p w14:paraId="5BB1DFFF" w14:textId="77777777" w:rsidR="00152D33" w:rsidRDefault="00152D33" w:rsidP="007304CD"/>
    <w:p w14:paraId="42991E05" w14:textId="77777777" w:rsidR="00152D33" w:rsidRDefault="00152D33" w:rsidP="007304CD"/>
    <w:p w14:paraId="286521A6" w14:textId="77777777" w:rsidR="00152D33" w:rsidRDefault="00152D33" w:rsidP="007304CD"/>
    <w:p w14:paraId="0E6697CD" w14:textId="77777777" w:rsidR="00152D33" w:rsidRDefault="00152D33" w:rsidP="007304CD"/>
    <w:p w14:paraId="17A8A679" w14:textId="4AC8A4C9" w:rsidR="003E3F88" w:rsidRPr="003E3F88" w:rsidRDefault="003E3F88" w:rsidP="007304CD">
      <w:r w:rsidRPr="003E3F88">
        <w:t xml:space="preserve">7). DSR ist für die Zielsetzung dieser Arbeit besonders geeignet, da das Forschungsziel nicht die Erklärung eines beobachteten Phänomens, sondern die präskriptive Gestaltung einer neuartigen Architekturlösung ist — ein </w:t>
      </w:r>
      <w:proofErr w:type="spellStart"/>
      <w:r w:rsidRPr="003E3F88">
        <w:t>Artefakttyp</w:t>
      </w:r>
      <w:proofErr w:type="spellEnd"/>
      <w:r w:rsidRPr="003E3F88">
        <w:t>, der sich der Kategorie „Model" im Sinne von March und Smith (1995) zuordnen lässt (</w:t>
      </w:r>
      <w:proofErr w:type="spellStart"/>
      <w:r w:rsidRPr="003E3F88">
        <w:t>Hevner</w:t>
      </w:r>
      <w:proofErr w:type="spellEnd"/>
      <w:r w:rsidRPr="003E3F88">
        <w:t xml:space="preserve"> et al., 2004, S. 77).</w:t>
      </w:r>
    </w:p>
    <w:p w14:paraId="3C074095" w14:textId="77777777" w:rsidR="003E3F88" w:rsidRPr="003E3F88" w:rsidRDefault="003E3F88" w:rsidP="007304CD">
      <w:r w:rsidRPr="003E3F88">
        <w:t xml:space="preserve">Als Vorgehensmodell wird die Design Science Research </w:t>
      </w:r>
      <w:proofErr w:type="spellStart"/>
      <w:r w:rsidRPr="003E3F88">
        <w:t>Methodology</w:t>
      </w:r>
      <w:proofErr w:type="spellEnd"/>
      <w:r w:rsidRPr="003E3F88">
        <w:t xml:space="preserve"> (DSRM) nach </w:t>
      </w:r>
      <w:proofErr w:type="spellStart"/>
      <w:r w:rsidRPr="003E3F88">
        <w:t>Peffers</w:t>
      </w:r>
      <w:proofErr w:type="spellEnd"/>
      <w:r w:rsidRPr="003E3F88">
        <w:t xml:space="preserve"> et al. (2007) herangezogen, die sechs Aktivitäten in einer nominalen Sequenz strukturiert: (1) Problem </w:t>
      </w:r>
      <w:proofErr w:type="spellStart"/>
      <w:r w:rsidRPr="003E3F88">
        <w:t>Identification</w:t>
      </w:r>
      <w:proofErr w:type="spellEnd"/>
      <w:r w:rsidRPr="003E3F88">
        <w:t xml:space="preserve"> &amp; Motivation, (2) Definition </w:t>
      </w:r>
      <w:proofErr w:type="spellStart"/>
      <w:r w:rsidRPr="003E3F88">
        <w:t>of</w:t>
      </w:r>
      <w:proofErr w:type="spellEnd"/>
      <w:r w:rsidRPr="003E3F88">
        <w:t xml:space="preserve"> </w:t>
      </w:r>
      <w:proofErr w:type="spellStart"/>
      <w:r w:rsidRPr="003E3F88">
        <w:t>Objectives</w:t>
      </w:r>
      <w:proofErr w:type="spellEnd"/>
      <w:r w:rsidRPr="003E3F88">
        <w:t>, (3) Design &amp; Development, (4) Demonstration, (5) Evaluation und (6) Communication (</w:t>
      </w:r>
      <w:proofErr w:type="spellStart"/>
      <w:r w:rsidRPr="003E3F88">
        <w:t>Peffers</w:t>
      </w:r>
      <w:proofErr w:type="spellEnd"/>
      <w:r w:rsidRPr="003E3F88">
        <w:t xml:space="preserve"> et al., 2007, S. 52–56). Der Einstieg erfolgt problemzentriert (problem-</w:t>
      </w:r>
      <w:proofErr w:type="spellStart"/>
      <w:r w:rsidRPr="003E3F88">
        <w:t>centered</w:t>
      </w:r>
      <w:proofErr w:type="spellEnd"/>
      <w:r w:rsidRPr="003E3F88">
        <w:t xml:space="preserve"> </w:t>
      </w:r>
      <w:proofErr w:type="spellStart"/>
      <w:r w:rsidRPr="003E3F88">
        <w:t>entry</w:t>
      </w:r>
      <w:proofErr w:type="spellEnd"/>
      <w:r w:rsidRPr="003E3F88">
        <w:t xml:space="preserve"> </w:t>
      </w:r>
      <w:proofErr w:type="spellStart"/>
      <w:r w:rsidRPr="003E3F88">
        <w:t>point</w:t>
      </w:r>
      <w:proofErr w:type="spellEnd"/>
      <w:r w:rsidRPr="003E3F88">
        <w:t xml:space="preserve">), da die dreifache Forschungslücke aus Abschnitt 1.2 den Ausgangspunkt bildet. Zur Strukturierung und Kommunikation des Forschungsprojekts wird ergänzend das DSR </w:t>
      </w:r>
      <w:proofErr w:type="spellStart"/>
      <w:r w:rsidRPr="003E3F88">
        <w:t>Grid</w:t>
      </w:r>
      <w:proofErr w:type="spellEnd"/>
      <w:r w:rsidRPr="003E3F88">
        <w:t xml:space="preserve"> nach vom Brocke und </w:t>
      </w:r>
      <w:proofErr w:type="spellStart"/>
      <w:r w:rsidRPr="003E3F88">
        <w:t>Maedche</w:t>
      </w:r>
      <w:proofErr w:type="spellEnd"/>
      <w:r w:rsidRPr="003E3F88">
        <w:t xml:space="preserve"> (2019) herangezogen, </w:t>
      </w:r>
      <w:proofErr w:type="gramStart"/>
      <w:r w:rsidRPr="003E3F88">
        <w:t>das</w:t>
      </w:r>
      <w:proofErr w:type="gramEnd"/>
      <w:r w:rsidRPr="003E3F88">
        <w:t xml:space="preserve"> die sechs Kerndimensionen eines DSR-Projekts systematisiert.</w:t>
      </w:r>
    </w:p>
    <w:p w14:paraId="7D4558AF" w14:textId="77777777" w:rsidR="003E3F88" w:rsidRPr="003E3F88" w:rsidRDefault="003E3F88" w:rsidP="007304CD">
      <w:r w:rsidRPr="003E3F88">
        <w:t xml:space="preserve">Die Wissensbasis (Rigor Cycle) wird durch eine strukturierte Literaturanalyse aufgebaut, die bestehende Frameworks aus den Bereichen </w:t>
      </w:r>
      <w:proofErr w:type="spellStart"/>
      <w:r w:rsidRPr="003E3F88">
        <w:t>MLOps</w:t>
      </w:r>
      <w:proofErr w:type="spellEnd"/>
      <w:r w:rsidRPr="003E3F88">
        <w:t>/</w:t>
      </w:r>
      <w:proofErr w:type="spellStart"/>
      <w:r w:rsidRPr="003E3F88">
        <w:t>LLMOps</w:t>
      </w:r>
      <w:proofErr w:type="spellEnd"/>
      <w:r w:rsidRPr="003E3F88">
        <w:t>/</w:t>
      </w:r>
      <w:proofErr w:type="spellStart"/>
      <w:r w:rsidRPr="003E3F88">
        <w:t>GenAIOps</w:t>
      </w:r>
      <w:proofErr w:type="spellEnd"/>
      <w:r w:rsidRPr="003E3F88">
        <w:t>, Cloud-native-Architektur, AI-</w:t>
      </w:r>
      <w:proofErr w:type="spellStart"/>
      <w:r w:rsidRPr="003E3F88">
        <w:t>Governance</w:t>
      </w:r>
      <w:proofErr w:type="spellEnd"/>
      <w:r w:rsidRPr="003E3F88">
        <w:t xml:space="preserve"> und Compliance-Automatisierung konsolidiert. Der </w:t>
      </w:r>
      <w:proofErr w:type="spellStart"/>
      <w:r w:rsidRPr="003E3F88">
        <w:t>Relevance</w:t>
      </w:r>
      <w:proofErr w:type="spellEnd"/>
      <w:r w:rsidRPr="003E3F88">
        <w:t xml:space="preserve"> Cycle verankert die Arbeit im Enterprise-Kontext durch die Ableitung technischer, organisatorischer und regulatorischer Anforderungen (RQ1), die als </w:t>
      </w:r>
      <w:r w:rsidRPr="003E3F88">
        <w:lastRenderedPageBreak/>
        <w:t>Anforderungskatalog (R1–</w:t>
      </w:r>
      <w:proofErr w:type="spellStart"/>
      <w:r w:rsidRPr="003E3F88">
        <w:t>Rn</w:t>
      </w:r>
      <w:proofErr w:type="spellEnd"/>
      <w:r w:rsidRPr="003E3F88">
        <w:t>) formalisiert werden. Im Design Cycle werden aus diesen Anforderungen Design-Prinzipien (DP-1 bis DP-n) abgeleitet und iterativ in die Referenzarchitektur überführt (RQ2).</w:t>
      </w:r>
    </w:p>
    <w:p w14:paraId="2BF97C69" w14:textId="77777777" w:rsidR="003D1A74" w:rsidRDefault="003E3F88" w:rsidP="007304CD">
      <w:r w:rsidRPr="003E3F88">
        <w:t xml:space="preserve">Die Evaluation erfolgt methodisch vierstufig: (1) ein Requirements-Coverage-Check prüft die Rückverfolgbarkeit zwischen Anforderungen und Architekturkomponenten, (2) ein </w:t>
      </w:r>
      <w:proofErr w:type="spellStart"/>
      <w:r w:rsidRPr="003E3F88">
        <w:t>szenariobasierter</w:t>
      </w:r>
      <w:proofErr w:type="spellEnd"/>
      <w:r w:rsidRPr="003E3F88">
        <w:t xml:space="preserve"> Walkthrough demonstriert die Architekturanwendung am Anwendungsfall eines Ambient AI Scribe, (3) eine prototypische Implementierung (PoC) validiert exemplarisch ein technisches und ein Compliance Gate in einer CI/CD-Pipeline, und (4) leitfadengestützte Experteninterviews bewerten die Architektur hinsichtlich Praxistauglichkeit, Vollständigkeit und Anpassungsbedarf (RQ3).</w:t>
      </w:r>
    </w:p>
    <w:p w14:paraId="2D195EC1" w14:textId="02930DCB" w:rsidR="003D1A74" w:rsidRDefault="003D1A74" w:rsidP="003D1A74">
      <w:pPr>
        <w:rPr>
          <w:rStyle w:val="berschrift1Zchn"/>
        </w:rPr>
      </w:pPr>
      <w:r>
        <w:br/>
      </w:r>
      <w:bookmarkStart w:id="8" w:name="_Toc222521085"/>
      <w:proofErr w:type="gramStart"/>
      <w:r w:rsidRPr="003D1A74">
        <w:rPr>
          <w:rStyle w:val="berschrift1Zchn"/>
        </w:rPr>
        <w:t>EXPOS</w:t>
      </w:r>
      <w:r>
        <w:rPr>
          <w:rStyle w:val="berschrift1Zchn"/>
        </w:rPr>
        <w:t>É</w:t>
      </w:r>
      <w:proofErr w:type="gramEnd"/>
      <w:r w:rsidRPr="003D1A74">
        <w:rPr>
          <w:rStyle w:val="berschrift1Zchn"/>
        </w:rPr>
        <w:t xml:space="preserve"> TEIL 2</w:t>
      </w:r>
      <w:bookmarkEnd w:id="8"/>
    </w:p>
    <w:p w14:paraId="37EA60B7" w14:textId="77777777" w:rsidR="003D1A74" w:rsidRPr="003D1A74" w:rsidRDefault="003D1A74" w:rsidP="009A5AE1">
      <w:pPr>
        <w:pStyle w:val="berschrift2"/>
      </w:pPr>
      <w:bookmarkStart w:id="9" w:name="_Toc222521086"/>
      <w:r w:rsidRPr="003D1A74">
        <w:t>2.1 Motivation</w:t>
      </w:r>
      <w:bookmarkEnd w:id="9"/>
    </w:p>
    <w:p w14:paraId="358D1D67" w14:textId="252F1057" w:rsidR="003D1A74" w:rsidRPr="003D1A74" w:rsidRDefault="003D1A74" w:rsidP="007304CD">
      <w:pPr>
        <w:rPr>
          <w:rFonts w:eastAsiaTheme="majorEastAsia"/>
        </w:rPr>
      </w:pPr>
      <w:r w:rsidRPr="003D1A74">
        <w:rPr>
          <w:rFonts w:eastAsiaTheme="majorEastAsia"/>
        </w:rPr>
        <w:t xml:space="preserve">Die Themenwahl ist sowohl durch die berufliche Spezialisierung als auch durch ein weiterführendes Forschungsinteresse motiviert. </w:t>
      </w:r>
      <w:r>
        <w:rPr>
          <w:rFonts w:eastAsiaTheme="majorEastAsia"/>
        </w:rPr>
        <w:t>Z</w:t>
      </w:r>
      <w:r w:rsidR="008E0B60">
        <w:rPr>
          <w:rFonts w:eastAsiaTheme="majorEastAsia"/>
        </w:rPr>
        <w:t>urzeit absolviere ich</w:t>
      </w:r>
      <w:r w:rsidRPr="003D1A74">
        <w:rPr>
          <w:rFonts w:eastAsiaTheme="majorEastAsia"/>
        </w:rPr>
        <w:t xml:space="preserve"> parallel zur Masterarbeit eine zertifizierte Vollzeit-Weiterbildung zum Cloud </w:t>
      </w:r>
      <w:proofErr w:type="spellStart"/>
      <w:r w:rsidRPr="003D1A74">
        <w:rPr>
          <w:rFonts w:eastAsiaTheme="majorEastAsia"/>
        </w:rPr>
        <w:t>Architect</w:t>
      </w:r>
      <w:proofErr w:type="spellEnd"/>
      <w:r w:rsidRPr="003D1A74">
        <w:rPr>
          <w:rFonts w:eastAsiaTheme="majorEastAsia"/>
        </w:rPr>
        <w:t xml:space="preserve"> (810 UE, AZAV-zertifiziert) mit Schwerpunkt auf </w:t>
      </w:r>
      <w:proofErr w:type="spellStart"/>
      <w:r w:rsidRPr="003D1A74">
        <w:rPr>
          <w:rFonts w:eastAsiaTheme="majorEastAsia"/>
        </w:rPr>
        <w:t>Kubernetes</w:t>
      </w:r>
      <w:proofErr w:type="spellEnd"/>
      <w:r w:rsidRPr="003D1A74">
        <w:rPr>
          <w:rFonts w:eastAsiaTheme="majorEastAsia"/>
        </w:rPr>
        <w:t>, Infrastructure-</w:t>
      </w:r>
      <w:proofErr w:type="spellStart"/>
      <w:r w:rsidRPr="003D1A74">
        <w:rPr>
          <w:rFonts w:eastAsiaTheme="majorEastAsia"/>
        </w:rPr>
        <w:t>as</w:t>
      </w:r>
      <w:proofErr w:type="spellEnd"/>
      <w:r w:rsidRPr="003D1A74">
        <w:rPr>
          <w:rFonts w:eastAsiaTheme="majorEastAsia"/>
        </w:rPr>
        <w:t xml:space="preserve">-Code und CI/CD-Pipelines, die die technische Basis der Arbeit unmittelbar ergänzt. Im Masterstudium bildete Künstliche Intelligenz das Vertiefungsfach (Note: 1,0), ergänzt durch Praxisprojekte im Bereich KI-gestütztes Requirements Engineering und </w:t>
      </w:r>
      <w:proofErr w:type="spellStart"/>
      <w:r w:rsidRPr="003D1A74">
        <w:rPr>
          <w:rFonts w:eastAsiaTheme="majorEastAsia"/>
        </w:rPr>
        <w:t>cloud</w:t>
      </w:r>
      <w:proofErr w:type="spellEnd"/>
      <w:r w:rsidRPr="003D1A74">
        <w:rPr>
          <w:rFonts w:eastAsiaTheme="majorEastAsia"/>
        </w:rPr>
        <w:t xml:space="preserve">-native Architekturentwicklung (jeweils Note: 1,0). Die berufliche Erfahrung im Automotive-Sektor — unter anderem als Projektleiter bei Mercedes-AMG </w:t>
      </w:r>
      <w:r w:rsidR="002D36BD">
        <w:rPr>
          <w:rFonts w:eastAsiaTheme="majorEastAsia"/>
        </w:rPr>
        <w:t xml:space="preserve">und </w:t>
      </w:r>
      <w:r w:rsidR="009A7BA4">
        <w:rPr>
          <w:rFonts w:eastAsiaTheme="majorEastAsia"/>
        </w:rPr>
        <w:t xml:space="preserve">als </w:t>
      </w:r>
      <w:r w:rsidR="002D36BD">
        <w:rPr>
          <w:rFonts w:eastAsiaTheme="majorEastAsia"/>
        </w:rPr>
        <w:t>strategische Produktmana</w:t>
      </w:r>
      <w:r w:rsidR="009A7BA4">
        <w:rPr>
          <w:rFonts w:eastAsiaTheme="majorEastAsia"/>
        </w:rPr>
        <w:t xml:space="preserve">ger bei der Mercedes-Benz AG mit </w:t>
      </w:r>
      <w:r w:rsidRPr="003D1A74">
        <w:rPr>
          <w:rFonts w:eastAsiaTheme="majorEastAsia"/>
        </w:rPr>
        <w:t xml:space="preserve">Verantwortung für Schnittstellenmanagement, Datenintegration und </w:t>
      </w:r>
      <w:proofErr w:type="spellStart"/>
      <w:r w:rsidRPr="003D1A74">
        <w:rPr>
          <w:rFonts w:eastAsiaTheme="majorEastAsia"/>
        </w:rPr>
        <w:t>Governance</w:t>
      </w:r>
      <w:proofErr w:type="spellEnd"/>
      <w:r w:rsidRPr="003D1A74">
        <w:rPr>
          <w:rFonts w:eastAsiaTheme="majorEastAsia"/>
        </w:rPr>
        <w:t>-Strukturen — hat den Bedarf an integrierten, regulatorisch konformen Betriebsarchitekturen für KI-Systeme aus der Praxis heraus sichtbar gemacht.</w:t>
      </w:r>
    </w:p>
    <w:p w14:paraId="01ADD8DB" w14:textId="6C1FAAA6" w:rsidR="003D1A74" w:rsidRPr="003D1A74" w:rsidRDefault="003D1A74" w:rsidP="007304CD">
      <w:pPr>
        <w:rPr>
          <w:rFonts w:eastAsiaTheme="majorEastAsia"/>
        </w:rPr>
      </w:pPr>
      <w:r w:rsidRPr="003D1A74">
        <w:rPr>
          <w:rFonts w:eastAsiaTheme="majorEastAsia"/>
        </w:rPr>
        <w:t xml:space="preserve">Über das unmittelbare Berufsziel als AI &amp; Cloud Solution </w:t>
      </w:r>
      <w:proofErr w:type="spellStart"/>
      <w:r w:rsidRPr="003D1A74">
        <w:rPr>
          <w:rFonts w:eastAsiaTheme="majorEastAsia"/>
        </w:rPr>
        <w:t>Architect</w:t>
      </w:r>
      <w:proofErr w:type="spellEnd"/>
      <w:r w:rsidRPr="003D1A74">
        <w:rPr>
          <w:rFonts w:eastAsiaTheme="majorEastAsia"/>
        </w:rPr>
        <w:t xml:space="preserve"> hinaus </w:t>
      </w:r>
      <w:r w:rsidR="009B282B">
        <w:rPr>
          <w:rFonts w:eastAsiaTheme="majorEastAsia"/>
        </w:rPr>
        <w:t>verfolge ich</w:t>
      </w:r>
      <w:r w:rsidRPr="003D1A74">
        <w:rPr>
          <w:rFonts w:eastAsiaTheme="majorEastAsia"/>
        </w:rPr>
        <w:t xml:space="preserve"> das Ziel einer Promotion im Bereich KI- und Innovationsmanagement. Die vorliegende Arbeit soll dafür eine methodisch und inhaltlich tragfähige Grundlage schaffen. Darüber hinaus ist die Überzeugung leitend, dass die technologische und regulatorische Souveränität Europas — insbesondere im Bereich Cloud-Infrastruktur und KI-</w:t>
      </w:r>
      <w:proofErr w:type="spellStart"/>
      <w:r w:rsidRPr="003D1A74">
        <w:rPr>
          <w:rFonts w:eastAsiaTheme="majorEastAsia"/>
        </w:rPr>
        <w:t>Governance</w:t>
      </w:r>
      <w:proofErr w:type="spellEnd"/>
      <w:r w:rsidRPr="003D1A74">
        <w:rPr>
          <w:rFonts w:eastAsiaTheme="majorEastAsia"/>
        </w:rPr>
        <w:t xml:space="preserve"> — eine eigenständige architektonische Antwort erfordert, zu der diese Arbeit einen konzeptionellen Beitrag leisten möchte.</w:t>
      </w:r>
    </w:p>
    <w:p w14:paraId="27775B5D" w14:textId="77777777" w:rsidR="0073761D" w:rsidRPr="0073761D" w:rsidRDefault="0073761D" w:rsidP="0073761D">
      <w:pPr>
        <w:pStyle w:val="berschrift2"/>
      </w:pPr>
      <w:bookmarkStart w:id="10" w:name="_Toc222521087"/>
      <w:r w:rsidRPr="0073761D">
        <w:t>2.2 Unternehmensakzeptanz</w:t>
      </w:r>
      <w:bookmarkEnd w:id="10"/>
    </w:p>
    <w:p w14:paraId="28F8CBBD" w14:textId="45D7C985" w:rsidR="0073761D" w:rsidRDefault="007304CD" w:rsidP="007304CD">
      <w:pPr>
        <w:rPr>
          <w:rFonts w:eastAsiaTheme="majorEastAsia"/>
        </w:rPr>
      </w:pPr>
      <w:r>
        <w:rPr>
          <w:rFonts w:eastAsiaTheme="majorEastAsia"/>
        </w:rPr>
        <w:t>Vorerst wird di</w:t>
      </w:r>
      <w:r w:rsidR="0073761D" w:rsidRPr="0073761D">
        <w:rPr>
          <w:rFonts w:eastAsiaTheme="majorEastAsia"/>
        </w:rPr>
        <w:t xml:space="preserve">e Arbeit als rein akademisches Forschungsprojekt ohne festen Praxispartner durchgeführt. Dies ist im Rahmen einer Design-Science-Research-Arbeit methodisch unproblematisch, da das zentrale Artefakt — eine generalisierbare </w:t>
      </w:r>
      <w:r w:rsidR="0073761D" w:rsidRPr="0073761D">
        <w:rPr>
          <w:rFonts w:eastAsiaTheme="majorEastAsia"/>
        </w:rPr>
        <w:lastRenderedPageBreak/>
        <w:t>Referenzarchitektur — nicht an einen spezifischen Unternehmenskontext gebunden ist, sondern als übertragbares Designwissen konzipiert wird (</w:t>
      </w:r>
      <w:proofErr w:type="spellStart"/>
      <w:r w:rsidR="0073761D" w:rsidRPr="0073761D">
        <w:rPr>
          <w:rFonts w:eastAsiaTheme="majorEastAsia"/>
        </w:rPr>
        <w:t>Hevner</w:t>
      </w:r>
      <w:proofErr w:type="spellEnd"/>
      <w:r w:rsidR="0073761D" w:rsidRPr="0073761D">
        <w:rPr>
          <w:rFonts w:eastAsiaTheme="majorEastAsia"/>
        </w:rPr>
        <w:t xml:space="preserve"> et al., 2004, S. 80). Die Evaluation stützt sich auf leitfadengestützte Experteninterviews mit Domänenexperten aus Wissenschaft und Praxis, deren Zugang über das akademische und berufliche Netzwerk </w:t>
      </w:r>
      <w:r w:rsidR="005C4BE8">
        <w:rPr>
          <w:rFonts w:eastAsiaTheme="majorEastAsia"/>
        </w:rPr>
        <w:t>von mi</w:t>
      </w:r>
      <w:r w:rsidR="00B44549">
        <w:rPr>
          <w:rFonts w:eastAsiaTheme="majorEastAsia"/>
        </w:rPr>
        <w:t xml:space="preserve">r </w:t>
      </w:r>
      <w:r w:rsidR="0073761D" w:rsidRPr="0073761D">
        <w:rPr>
          <w:rFonts w:eastAsiaTheme="majorEastAsia"/>
        </w:rPr>
        <w:t xml:space="preserve">gesichert ist. Für die prototypische Implementierung (PoC) stehen studentische Cloud-Ressourcen (Microsoft Azure) sowie Open-Source-Tooling zur Verfügung. Eine optionale Kooperation mit einem Startup zur Validierung des Ambient-AI-Scribe-Szenarios </w:t>
      </w:r>
      <w:r w:rsidR="00B44549">
        <w:rPr>
          <w:rFonts w:eastAsiaTheme="majorEastAsia"/>
        </w:rPr>
        <w:t xml:space="preserve">(oder </w:t>
      </w:r>
      <w:r w:rsidR="00A512CF">
        <w:rPr>
          <w:rFonts w:eastAsiaTheme="majorEastAsia"/>
        </w:rPr>
        <w:t xml:space="preserve">eines </w:t>
      </w:r>
      <w:r w:rsidR="00B44549">
        <w:rPr>
          <w:rFonts w:eastAsiaTheme="majorEastAsia"/>
        </w:rPr>
        <w:t>ähnliche</w:t>
      </w:r>
      <w:r w:rsidR="00A512CF">
        <w:rPr>
          <w:rFonts w:eastAsiaTheme="majorEastAsia"/>
        </w:rPr>
        <w:t>n</w:t>
      </w:r>
      <w:r w:rsidR="00B44549">
        <w:rPr>
          <w:rFonts w:eastAsiaTheme="majorEastAsia"/>
        </w:rPr>
        <w:t xml:space="preserve"> Use Case) </w:t>
      </w:r>
      <w:r w:rsidR="0073761D" w:rsidRPr="0073761D">
        <w:rPr>
          <w:rFonts w:eastAsiaTheme="majorEastAsia"/>
        </w:rPr>
        <w:t>wird derzeit geprüft, ist für die Durchführbarkeit der Arbeit jedoch nicht erforderlich.</w:t>
      </w:r>
    </w:p>
    <w:p w14:paraId="6EF66641" w14:textId="736006D1" w:rsidR="00A512CF" w:rsidRDefault="004C3F61" w:rsidP="004C3F61">
      <w:pPr>
        <w:pStyle w:val="berschrift2"/>
      </w:pPr>
      <w:bookmarkStart w:id="11" w:name="_Toc222521088"/>
      <w:r>
        <w:t>2.3 Zeitplan</w:t>
      </w:r>
      <w:bookmarkEnd w:id="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3"/>
        <w:gridCol w:w="1059"/>
        <w:gridCol w:w="4556"/>
      </w:tblGrid>
      <w:tr w:rsidR="00A512CF" w:rsidRPr="00A512CF" w14:paraId="21EBD926" w14:textId="77777777">
        <w:trPr>
          <w:tblHeader/>
          <w:tblCellSpacing w:w="15" w:type="dxa"/>
        </w:trPr>
        <w:tc>
          <w:tcPr>
            <w:tcW w:w="0" w:type="auto"/>
            <w:vAlign w:val="center"/>
            <w:hideMark/>
          </w:tcPr>
          <w:p w14:paraId="1DA91D44" w14:textId="77777777" w:rsidR="00A512CF" w:rsidRPr="00A512CF" w:rsidRDefault="00A512CF" w:rsidP="00A512CF">
            <w:pPr>
              <w:spacing w:before="0" w:after="0" w:line="240" w:lineRule="auto"/>
              <w:contextualSpacing w:val="0"/>
              <w:jc w:val="center"/>
              <w:rPr>
                <w:rFonts w:ascii="Times New Roman" w:hAnsi="Times New Roman" w:cs="Times New Roman"/>
                <w:b/>
                <w:bCs/>
                <w:sz w:val="24"/>
                <w:szCs w:val="24"/>
              </w:rPr>
            </w:pPr>
            <w:r w:rsidRPr="00A512CF">
              <w:rPr>
                <w:rFonts w:ascii="Times New Roman" w:hAnsi="Times New Roman" w:cs="Times New Roman"/>
                <w:b/>
                <w:bCs/>
                <w:sz w:val="24"/>
                <w:szCs w:val="24"/>
              </w:rPr>
              <w:t>Phase</w:t>
            </w:r>
          </w:p>
        </w:tc>
        <w:tc>
          <w:tcPr>
            <w:tcW w:w="0" w:type="auto"/>
            <w:vAlign w:val="center"/>
            <w:hideMark/>
          </w:tcPr>
          <w:p w14:paraId="7BD4708C" w14:textId="77777777" w:rsidR="00A512CF" w:rsidRPr="00A512CF" w:rsidRDefault="00A512CF" w:rsidP="00A512CF">
            <w:pPr>
              <w:spacing w:before="0" w:after="0" w:line="240" w:lineRule="auto"/>
              <w:contextualSpacing w:val="0"/>
              <w:jc w:val="center"/>
              <w:rPr>
                <w:rFonts w:ascii="Times New Roman" w:hAnsi="Times New Roman" w:cs="Times New Roman"/>
                <w:b/>
                <w:bCs/>
                <w:sz w:val="24"/>
                <w:szCs w:val="24"/>
              </w:rPr>
            </w:pPr>
            <w:r w:rsidRPr="00A512CF">
              <w:rPr>
                <w:rFonts w:ascii="Times New Roman" w:hAnsi="Times New Roman" w:cs="Times New Roman"/>
                <w:b/>
                <w:bCs/>
                <w:sz w:val="24"/>
                <w:szCs w:val="24"/>
              </w:rPr>
              <w:t>Zeitraum</w:t>
            </w:r>
          </w:p>
        </w:tc>
        <w:tc>
          <w:tcPr>
            <w:tcW w:w="0" w:type="auto"/>
            <w:vAlign w:val="center"/>
            <w:hideMark/>
          </w:tcPr>
          <w:p w14:paraId="1FEEA991" w14:textId="77777777" w:rsidR="00A512CF" w:rsidRPr="00A512CF" w:rsidRDefault="00A512CF" w:rsidP="00A512CF">
            <w:pPr>
              <w:spacing w:before="0" w:after="0" w:line="240" w:lineRule="auto"/>
              <w:contextualSpacing w:val="0"/>
              <w:jc w:val="center"/>
              <w:rPr>
                <w:rFonts w:ascii="Times New Roman" w:hAnsi="Times New Roman" w:cs="Times New Roman"/>
                <w:b/>
                <w:bCs/>
                <w:sz w:val="24"/>
                <w:szCs w:val="24"/>
              </w:rPr>
            </w:pPr>
            <w:r w:rsidRPr="00A512CF">
              <w:rPr>
                <w:rFonts w:ascii="Times New Roman" w:hAnsi="Times New Roman" w:cs="Times New Roman"/>
                <w:b/>
                <w:bCs/>
                <w:sz w:val="24"/>
                <w:szCs w:val="24"/>
              </w:rPr>
              <w:t>Aktivitäten</w:t>
            </w:r>
          </w:p>
        </w:tc>
      </w:tr>
      <w:tr w:rsidR="00A512CF" w:rsidRPr="00A512CF" w14:paraId="66768FED" w14:textId="77777777">
        <w:trPr>
          <w:tblCellSpacing w:w="15" w:type="dxa"/>
        </w:trPr>
        <w:tc>
          <w:tcPr>
            <w:tcW w:w="0" w:type="auto"/>
            <w:vAlign w:val="center"/>
            <w:hideMark/>
          </w:tcPr>
          <w:p w14:paraId="6FF6467E" w14:textId="77777777"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b/>
                <w:bCs/>
                <w:sz w:val="24"/>
                <w:szCs w:val="24"/>
              </w:rPr>
              <w:t>Phase 1:</w:t>
            </w:r>
            <w:r w:rsidRPr="00A512CF">
              <w:rPr>
                <w:rFonts w:ascii="Times New Roman" w:hAnsi="Times New Roman" w:cs="Times New Roman"/>
                <w:sz w:val="24"/>
                <w:szCs w:val="24"/>
              </w:rPr>
              <w:t xml:space="preserve"> Grundlagen &amp; Anforderungen</w:t>
            </w:r>
          </w:p>
        </w:tc>
        <w:tc>
          <w:tcPr>
            <w:tcW w:w="0" w:type="auto"/>
            <w:vAlign w:val="center"/>
            <w:hideMark/>
          </w:tcPr>
          <w:p w14:paraId="55FB38BF" w14:textId="0B6BA653"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sz w:val="24"/>
                <w:szCs w:val="24"/>
              </w:rPr>
              <w:t>Monat 1</w:t>
            </w:r>
          </w:p>
        </w:tc>
        <w:tc>
          <w:tcPr>
            <w:tcW w:w="0" w:type="auto"/>
            <w:vAlign w:val="center"/>
            <w:hideMark/>
          </w:tcPr>
          <w:p w14:paraId="21BCE3A9" w14:textId="77777777"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sz w:val="24"/>
                <w:szCs w:val="24"/>
              </w:rPr>
              <w:t xml:space="preserve">Literaturanalyse (Kap. 2), Anforderungsableitung (Kap. 4), </w:t>
            </w:r>
            <w:proofErr w:type="spellStart"/>
            <w:r w:rsidRPr="00A512CF">
              <w:rPr>
                <w:rFonts w:ascii="Times New Roman" w:hAnsi="Times New Roman" w:cs="Times New Roman"/>
                <w:sz w:val="24"/>
                <w:szCs w:val="24"/>
              </w:rPr>
              <w:t>Traceability</w:t>
            </w:r>
            <w:proofErr w:type="spellEnd"/>
            <w:r w:rsidRPr="00A512CF">
              <w:rPr>
                <w:rFonts w:ascii="Times New Roman" w:hAnsi="Times New Roman" w:cs="Times New Roman"/>
                <w:sz w:val="24"/>
                <w:szCs w:val="24"/>
              </w:rPr>
              <w:t>-Matrix</w:t>
            </w:r>
          </w:p>
        </w:tc>
      </w:tr>
      <w:tr w:rsidR="00A512CF" w:rsidRPr="00A512CF" w14:paraId="44808AAF" w14:textId="77777777">
        <w:trPr>
          <w:tblCellSpacing w:w="15" w:type="dxa"/>
        </w:trPr>
        <w:tc>
          <w:tcPr>
            <w:tcW w:w="0" w:type="auto"/>
            <w:vAlign w:val="center"/>
            <w:hideMark/>
          </w:tcPr>
          <w:p w14:paraId="6D7C6683" w14:textId="77777777"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b/>
                <w:bCs/>
                <w:sz w:val="24"/>
                <w:szCs w:val="24"/>
              </w:rPr>
              <w:t>Phase 2:</w:t>
            </w:r>
            <w:r w:rsidRPr="00A512CF">
              <w:rPr>
                <w:rFonts w:ascii="Times New Roman" w:hAnsi="Times New Roman" w:cs="Times New Roman"/>
                <w:sz w:val="24"/>
                <w:szCs w:val="24"/>
              </w:rPr>
              <w:t xml:space="preserve"> Architekturentwicklung</w:t>
            </w:r>
          </w:p>
        </w:tc>
        <w:tc>
          <w:tcPr>
            <w:tcW w:w="0" w:type="auto"/>
            <w:vAlign w:val="center"/>
            <w:hideMark/>
          </w:tcPr>
          <w:p w14:paraId="5875B39D" w14:textId="51A0E716"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sz w:val="24"/>
                <w:szCs w:val="24"/>
              </w:rPr>
              <w:t xml:space="preserve">Monat </w:t>
            </w:r>
            <w:r>
              <w:rPr>
                <w:rFonts w:ascii="Times New Roman" w:hAnsi="Times New Roman" w:cs="Times New Roman"/>
                <w:sz w:val="24"/>
                <w:szCs w:val="24"/>
              </w:rPr>
              <w:t>1</w:t>
            </w:r>
            <w:r w:rsidRPr="00A512CF">
              <w:rPr>
                <w:rFonts w:ascii="Times New Roman" w:hAnsi="Times New Roman" w:cs="Times New Roman"/>
                <w:sz w:val="24"/>
                <w:szCs w:val="24"/>
              </w:rPr>
              <w:t>–</w:t>
            </w:r>
            <w:r>
              <w:rPr>
                <w:rFonts w:ascii="Times New Roman" w:hAnsi="Times New Roman" w:cs="Times New Roman"/>
                <w:sz w:val="24"/>
                <w:szCs w:val="24"/>
              </w:rPr>
              <w:t>3</w:t>
            </w:r>
          </w:p>
        </w:tc>
        <w:tc>
          <w:tcPr>
            <w:tcW w:w="0" w:type="auto"/>
            <w:vAlign w:val="center"/>
            <w:hideMark/>
          </w:tcPr>
          <w:p w14:paraId="367869D3" w14:textId="77777777"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sz w:val="24"/>
                <w:szCs w:val="24"/>
              </w:rPr>
              <w:t>Design-Prinzipien, Schichtenmodell, Quality-Gate-Framework, Pipeline-Integration (Kap. 5)</w:t>
            </w:r>
          </w:p>
        </w:tc>
      </w:tr>
      <w:tr w:rsidR="00A512CF" w:rsidRPr="00A512CF" w14:paraId="0BBF6B07" w14:textId="77777777">
        <w:trPr>
          <w:tblCellSpacing w:w="15" w:type="dxa"/>
        </w:trPr>
        <w:tc>
          <w:tcPr>
            <w:tcW w:w="0" w:type="auto"/>
            <w:vAlign w:val="center"/>
            <w:hideMark/>
          </w:tcPr>
          <w:p w14:paraId="12553CE9" w14:textId="77777777"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b/>
                <w:bCs/>
                <w:sz w:val="24"/>
                <w:szCs w:val="24"/>
              </w:rPr>
              <w:t>Phase 3:</w:t>
            </w:r>
            <w:r w:rsidRPr="00A512CF">
              <w:rPr>
                <w:rFonts w:ascii="Times New Roman" w:hAnsi="Times New Roman" w:cs="Times New Roman"/>
                <w:sz w:val="24"/>
                <w:szCs w:val="24"/>
              </w:rPr>
              <w:t xml:space="preserve"> Evaluation</w:t>
            </w:r>
          </w:p>
        </w:tc>
        <w:tc>
          <w:tcPr>
            <w:tcW w:w="0" w:type="auto"/>
            <w:vAlign w:val="center"/>
            <w:hideMark/>
          </w:tcPr>
          <w:p w14:paraId="6B0E683F" w14:textId="41B976E3"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sz w:val="24"/>
                <w:szCs w:val="24"/>
              </w:rPr>
              <w:t>Monat 4</w:t>
            </w:r>
            <w:r w:rsidR="004C3F61">
              <w:rPr>
                <w:rFonts w:ascii="Times New Roman" w:hAnsi="Times New Roman" w:cs="Times New Roman"/>
                <w:sz w:val="24"/>
                <w:szCs w:val="24"/>
              </w:rPr>
              <w:t>-5</w:t>
            </w:r>
          </w:p>
        </w:tc>
        <w:tc>
          <w:tcPr>
            <w:tcW w:w="0" w:type="auto"/>
            <w:vAlign w:val="center"/>
            <w:hideMark/>
          </w:tcPr>
          <w:p w14:paraId="22C21C2B" w14:textId="77777777"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sz w:val="24"/>
                <w:szCs w:val="24"/>
              </w:rPr>
              <w:t>Coverage-Check, Walkthrough, PoC-Implementierung, Experteninterviews (Kap. 6)</w:t>
            </w:r>
          </w:p>
        </w:tc>
      </w:tr>
      <w:tr w:rsidR="00A512CF" w:rsidRPr="00A512CF" w14:paraId="2E29A8C8" w14:textId="77777777">
        <w:trPr>
          <w:tblCellSpacing w:w="15" w:type="dxa"/>
        </w:trPr>
        <w:tc>
          <w:tcPr>
            <w:tcW w:w="0" w:type="auto"/>
            <w:vAlign w:val="center"/>
            <w:hideMark/>
          </w:tcPr>
          <w:p w14:paraId="49799102" w14:textId="77777777"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b/>
                <w:bCs/>
                <w:sz w:val="24"/>
                <w:szCs w:val="24"/>
              </w:rPr>
              <w:t>Phase 4:</w:t>
            </w:r>
            <w:r w:rsidRPr="00A512CF">
              <w:rPr>
                <w:rFonts w:ascii="Times New Roman" w:hAnsi="Times New Roman" w:cs="Times New Roman"/>
                <w:sz w:val="24"/>
                <w:szCs w:val="24"/>
              </w:rPr>
              <w:t xml:space="preserve"> Dokumentation &amp; Abschluss</w:t>
            </w:r>
          </w:p>
        </w:tc>
        <w:tc>
          <w:tcPr>
            <w:tcW w:w="0" w:type="auto"/>
            <w:vAlign w:val="center"/>
            <w:hideMark/>
          </w:tcPr>
          <w:p w14:paraId="57BCCCAC" w14:textId="0D10B169"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sz w:val="24"/>
                <w:szCs w:val="24"/>
              </w:rPr>
              <w:t xml:space="preserve">Monat </w:t>
            </w:r>
            <w:r>
              <w:rPr>
                <w:rFonts w:ascii="Times New Roman" w:hAnsi="Times New Roman" w:cs="Times New Roman"/>
                <w:sz w:val="24"/>
                <w:szCs w:val="24"/>
              </w:rPr>
              <w:t>5</w:t>
            </w:r>
          </w:p>
        </w:tc>
        <w:tc>
          <w:tcPr>
            <w:tcW w:w="0" w:type="auto"/>
            <w:vAlign w:val="center"/>
            <w:hideMark/>
          </w:tcPr>
          <w:p w14:paraId="0104BF40" w14:textId="77777777"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sz w:val="24"/>
                <w:szCs w:val="24"/>
              </w:rPr>
              <w:t>Diskussion (Kap. 7), Fazit (Kap. 8), Revision, Abgabe</w:t>
            </w:r>
          </w:p>
        </w:tc>
      </w:tr>
    </w:tbl>
    <w:p w14:paraId="71BD4201" w14:textId="77777777" w:rsidR="00A512CF" w:rsidRPr="0073761D" w:rsidRDefault="00A512CF" w:rsidP="007304CD">
      <w:pPr>
        <w:rPr>
          <w:rFonts w:eastAsiaTheme="majorEastAsia"/>
        </w:rPr>
      </w:pPr>
    </w:p>
    <w:p w14:paraId="2A36CB12" w14:textId="77777777" w:rsidR="003D1A74" w:rsidRDefault="003D1A74" w:rsidP="003D1A74">
      <w:pPr>
        <w:rPr>
          <w:rStyle w:val="berschrift1Zchn"/>
        </w:rPr>
      </w:pPr>
    </w:p>
    <w:p w14:paraId="69C004A7" w14:textId="77777777" w:rsidR="003D1A74" w:rsidRPr="003E3F88" w:rsidRDefault="003D1A74" w:rsidP="003D1A74"/>
    <w:p w14:paraId="0017F2DF" w14:textId="77777777" w:rsidR="005264E7" w:rsidRPr="005264E7" w:rsidRDefault="005264E7" w:rsidP="005264E7"/>
    <w:p w14:paraId="396B03FA" w14:textId="77777777" w:rsidR="00F81A91" w:rsidRDefault="00F81A91" w:rsidP="005264E7"/>
    <w:p w14:paraId="46F6F6A9" w14:textId="77777777" w:rsidR="00F81A91" w:rsidRDefault="00F81A91" w:rsidP="005264E7"/>
    <w:p w14:paraId="3AD64F8F" w14:textId="77777777" w:rsidR="00F81A91" w:rsidRDefault="00F81A91" w:rsidP="005264E7"/>
    <w:p w14:paraId="6A8EB43B" w14:textId="77777777" w:rsidR="00F81A91" w:rsidRDefault="00F81A91" w:rsidP="005264E7"/>
    <w:p w14:paraId="7F2A6230" w14:textId="77777777" w:rsidR="00F81A91" w:rsidRDefault="00F81A91" w:rsidP="005264E7"/>
    <w:p w14:paraId="308D6DE5" w14:textId="77777777" w:rsidR="00F81A91" w:rsidRDefault="00F81A91" w:rsidP="005264E7"/>
    <w:p w14:paraId="57C590B0" w14:textId="77777777" w:rsidR="00F81A91" w:rsidRDefault="00F81A91" w:rsidP="005264E7"/>
    <w:p w14:paraId="74B7E561" w14:textId="77777777" w:rsidR="00452AD9" w:rsidRDefault="00452AD9" w:rsidP="005264E7"/>
    <w:p w14:paraId="4A255E0C" w14:textId="77777777" w:rsidR="00452AD9" w:rsidRDefault="00452AD9" w:rsidP="005264E7"/>
    <w:p w14:paraId="0BA233E2" w14:textId="77777777" w:rsidR="00452AD9" w:rsidRDefault="00452AD9" w:rsidP="005264E7"/>
    <w:p w14:paraId="748E8D20" w14:textId="77777777" w:rsidR="00452AD9" w:rsidRDefault="00452AD9" w:rsidP="005264E7">
      <w:r>
        <w:br w:type="page"/>
      </w:r>
    </w:p>
    <w:p w14:paraId="75BBCF60" w14:textId="7D61C049" w:rsidR="005264E7" w:rsidRPr="00F25896" w:rsidRDefault="00F25896" w:rsidP="00F25896">
      <w:pPr>
        <w:pStyle w:val="berschrift2"/>
        <w:rPr>
          <w:rFonts w:eastAsia="Times New Roman" w:cs="Arial"/>
          <w:color w:val="auto"/>
          <w:spacing w:val="0"/>
          <w:kern w:val="0"/>
          <w:szCs w:val="22"/>
        </w:rPr>
      </w:pPr>
      <w:bookmarkStart w:id="12" w:name="_Toc222521089"/>
      <w:r w:rsidRPr="00F25896">
        <w:lastRenderedPageBreak/>
        <w:t>2</w:t>
      </w:r>
      <w:r w:rsidR="0093631D" w:rsidRPr="00F25896">
        <w:t xml:space="preserve">.4 </w:t>
      </w:r>
      <w:r w:rsidR="005264E7" w:rsidRPr="00F25896">
        <w:t>Grobgliederung</w:t>
      </w:r>
      <w:bookmarkEnd w:id="12"/>
      <w:r w:rsidR="005264E7" w:rsidRPr="00F25896">
        <w:t xml:space="preserve"> </w:t>
      </w:r>
    </w:p>
    <w:p w14:paraId="410F90D5" w14:textId="77777777" w:rsidR="005264E7" w:rsidRDefault="005264E7" w:rsidP="005264E7"/>
    <w:p w14:paraId="0D341812" w14:textId="77777777" w:rsidR="005264E7" w:rsidRPr="00F25896" w:rsidRDefault="005264E7" w:rsidP="005264E7">
      <w:pPr>
        <w:rPr>
          <w:b/>
          <w:bCs/>
        </w:rPr>
      </w:pPr>
      <w:r w:rsidRPr="00F25896">
        <w:rPr>
          <w:b/>
          <w:bCs/>
        </w:rPr>
        <w:t>1 Einleitung</w:t>
      </w:r>
    </w:p>
    <w:p w14:paraId="228C121A" w14:textId="77777777" w:rsidR="005264E7" w:rsidRPr="00F25896" w:rsidRDefault="005264E7" w:rsidP="005264E7">
      <w:r w:rsidRPr="00F25896">
        <w:t>1.1 Problemstellung und Relevanz</w:t>
      </w:r>
    </w:p>
    <w:p w14:paraId="729F45AF" w14:textId="77777777" w:rsidR="005264E7" w:rsidRPr="00F25896" w:rsidRDefault="005264E7" w:rsidP="005264E7">
      <w:r w:rsidRPr="00F25896">
        <w:t>1.2 Zielsetzung der Arbeit</w:t>
      </w:r>
    </w:p>
    <w:p w14:paraId="63414D66" w14:textId="77777777" w:rsidR="005264E7" w:rsidRPr="00F25896" w:rsidRDefault="005264E7" w:rsidP="005264E7">
      <w:r w:rsidRPr="00F25896">
        <w:t>1.3 Forschungsfragen</w:t>
      </w:r>
    </w:p>
    <w:p w14:paraId="5B432170" w14:textId="77777777" w:rsidR="005264E7" w:rsidRPr="00F25896" w:rsidRDefault="005264E7" w:rsidP="005264E7">
      <w:r w:rsidRPr="00F25896">
        <w:t>1.4 Aufbau der Arbeit</w:t>
      </w:r>
    </w:p>
    <w:p w14:paraId="2B6DCD31" w14:textId="51B2AD3A" w:rsidR="005264E7" w:rsidRPr="00F25896" w:rsidRDefault="005264E7" w:rsidP="005264E7">
      <w:r w:rsidRPr="00F25896">
        <w:t>1.5 Abgrenzung (</w:t>
      </w:r>
      <w:proofErr w:type="spellStart"/>
      <w:r w:rsidRPr="00F25896">
        <w:t>Scope</w:t>
      </w:r>
      <w:proofErr w:type="spellEnd"/>
      <w:r w:rsidRPr="00F25896">
        <w:t>) &amp; Annahmen</w:t>
      </w:r>
    </w:p>
    <w:p w14:paraId="45372230" w14:textId="77777777" w:rsidR="00F25896" w:rsidRPr="00F25896" w:rsidRDefault="00F25896" w:rsidP="005264E7"/>
    <w:p w14:paraId="33EFE0CA" w14:textId="1A8996E0" w:rsidR="005264E7" w:rsidRPr="00F25896" w:rsidRDefault="005264E7" w:rsidP="005264E7">
      <w:r w:rsidRPr="00F25896">
        <w:rPr>
          <w:b/>
          <w:bCs/>
        </w:rPr>
        <w:t xml:space="preserve">2 Theoretische Grundlagen und Stand der Forschung </w:t>
      </w:r>
      <w:r w:rsidRPr="00F25896">
        <w:t>→ Rigor Cycle</w:t>
      </w:r>
    </w:p>
    <w:p w14:paraId="680627C2" w14:textId="2772050E" w:rsidR="005264E7" w:rsidRPr="00F25896" w:rsidRDefault="005264E7" w:rsidP="00F25896">
      <w:r w:rsidRPr="00F25896">
        <w:t xml:space="preserve">2.1 Begriffsabgrenzung und Systemkontext (LLM, </w:t>
      </w:r>
      <w:proofErr w:type="spellStart"/>
      <w:r w:rsidRPr="00F25896">
        <w:t>GenAI</w:t>
      </w:r>
      <w:proofErr w:type="spellEnd"/>
      <w:r w:rsidRPr="00F25896">
        <w:t xml:space="preserve">-System, RAG, </w:t>
      </w:r>
      <w:proofErr w:type="spellStart"/>
      <w:r w:rsidRPr="00F25896">
        <w:t>LLMOps</w:t>
      </w:r>
      <w:proofErr w:type="spellEnd"/>
      <w:r w:rsidRPr="00F25896">
        <w:t>, Quality Gate, Policy-</w:t>
      </w:r>
      <w:proofErr w:type="spellStart"/>
      <w:r w:rsidRPr="00F25896">
        <w:t>as</w:t>
      </w:r>
      <w:proofErr w:type="spellEnd"/>
      <w:r w:rsidRPr="00F25896">
        <w:t>-Code).</w:t>
      </w:r>
    </w:p>
    <w:p w14:paraId="28B1321F" w14:textId="77777777" w:rsidR="005264E7" w:rsidRPr="00F25896" w:rsidRDefault="005264E7" w:rsidP="005264E7">
      <w:r w:rsidRPr="00F25896">
        <w:t>2.2 Generative KI und LLMs</w:t>
      </w:r>
    </w:p>
    <w:p w14:paraId="5DCBD980" w14:textId="4BB2E2BC" w:rsidR="005264E7" w:rsidRPr="00F25896" w:rsidRDefault="005264E7" w:rsidP="005264E7">
      <w:r w:rsidRPr="00F25896">
        <w:t xml:space="preserve">2.3 Cloud-native: Fokus auf Plattformfähigkeiten (Identity, Network, </w:t>
      </w:r>
      <w:proofErr w:type="spellStart"/>
      <w:r w:rsidRPr="00F25896">
        <w:t>Observability</w:t>
      </w:r>
      <w:proofErr w:type="spellEnd"/>
      <w:r w:rsidRPr="00F25896">
        <w:t>, Policy)</w:t>
      </w:r>
    </w:p>
    <w:p w14:paraId="31AA70A0" w14:textId="77777777" w:rsidR="005264E7" w:rsidRPr="00F25896" w:rsidRDefault="005264E7" w:rsidP="005264E7">
      <w:r w:rsidRPr="00F25896">
        <w:t xml:space="preserve">2.4 Operationalisierung </w:t>
      </w:r>
    </w:p>
    <w:p w14:paraId="7063F7B6" w14:textId="0C9679C0" w:rsidR="005264E7" w:rsidRPr="00F25896" w:rsidRDefault="005264E7" w:rsidP="005264E7">
      <w:r w:rsidRPr="00F25896">
        <w:t xml:space="preserve">2.4.1 Von </w:t>
      </w:r>
      <w:proofErr w:type="spellStart"/>
      <w:r w:rsidRPr="00F25896">
        <w:t>MLOps</w:t>
      </w:r>
      <w:proofErr w:type="spellEnd"/>
      <w:r w:rsidRPr="00F25896">
        <w:t xml:space="preserve"> zu </w:t>
      </w:r>
      <w:proofErr w:type="spellStart"/>
      <w:r w:rsidRPr="00F25896">
        <w:t>LLMOps</w:t>
      </w:r>
      <w:proofErr w:type="spellEnd"/>
      <w:r w:rsidRPr="00F25896">
        <w:t>: Operationalisierung von KI-Systemen</w:t>
      </w:r>
    </w:p>
    <w:p w14:paraId="22484ECC" w14:textId="5C28D748" w:rsidR="005264E7" w:rsidRPr="00F25896" w:rsidRDefault="005264E7" w:rsidP="005264E7">
      <w:r w:rsidRPr="00F25896">
        <w:t>2.4.2 Der EU AI Act: Regulatorischer Rahmen und technisch-organisatorische Anforderungen</w:t>
      </w:r>
    </w:p>
    <w:p w14:paraId="4622F6C1" w14:textId="5CDD0FA4" w:rsidR="005264E7" w:rsidRPr="00F25896" w:rsidRDefault="005264E7" w:rsidP="005264E7">
      <w:r w:rsidRPr="00F25896">
        <w:t>2.5 Quality Gates: Definition, Konzepte und Einordnung</w:t>
      </w:r>
    </w:p>
    <w:p w14:paraId="18AFCDAD" w14:textId="6EC075A3" w:rsidR="005264E7" w:rsidRPr="00F25896" w:rsidRDefault="005264E7" w:rsidP="005264E7">
      <w:r w:rsidRPr="00F25896">
        <w:t>2.6 Compliance-</w:t>
      </w:r>
      <w:proofErr w:type="spellStart"/>
      <w:r w:rsidRPr="00F25896">
        <w:t>as</w:t>
      </w:r>
      <w:proofErr w:type="spellEnd"/>
      <w:r w:rsidRPr="00F25896">
        <w:t>-Code und Policy-</w:t>
      </w:r>
      <w:proofErr w:type="spellStart"/>
      <w:r w:rsidRPr="00F25896">
        <w:t>as</w:t>
      </w:r>
      <w:proofErr w:type="spellEnd"/>
      <w:r w:rsidRPr="00F25896">
        <w:t>-Code</w:t>
      </w:r>
    </w:p>
    <w:p w14:paraId="149966EF" w14:textId="19F23423" w:rsidR="005264E7" w:rsidRPr="00F25896" w:rsidRDefault="005264E7" w:rsidP="005264E7">
      <w:r w:rsidRPr="00F25896">
        <w:t>2.7 Synthese: Forschungslücke und Handlungsbedarf</w:t>
      </w:r>
    </w:p>
    <w:p w14:paraId="7B030656" w14:textId="5C38B2B1" w:rsidR="005264E7" w:rsidRPr="00F25896" w:rsidRDefault="005264E7" w:rsidP="005264E7"/>
    <w:p w14:paraId="5B9558F9" w14:textId="7A5070C4" w:rsidR="005264E7" w:rsidRPr="00F25896" w:rsidRDefault="005264E7" w:rsidP="005264E7">
      <w:pPr>
        <w:rPr>
          <w:b/>
          <w:bCs/>
        </w:rPr>
      </w:pPr>
      <w:r w:rsidRPr="00F25896">
        <w:rPr>
          <w:b/>
          <w:bCs/>
        </w:rPr>
        <w:t>3 Forschungsdesign und Methodik</w:t>
      </w:r>
    </w:p>
    <w:p w14:paraId="16C43F01" w14:textId="002418D0" w:rsidR="005264E7" w:rsidRPr="00F25896" w:rsidRDefault="005264E7" w:rsidP="006016F6">
      <w:pPr>
        <w:jc w:val="left"/>
      </w:pPr>
      <w:r w:rsidRPr="00F25896">
        <w:t>3.1 Design Science Research als Forschungsrahmen</w:t>
      </w:r>
      <w:r w:rsidRPr="00F25896">
        <w:br/>
        <w:t>3.2 Vorgehensmodell/Prozess (</w:t>
      </w:r>
      <w:proofErr w:type="spellStart"/>
      <w:r w:rsidRPr="00F25896">
        <w:t>Peffers</w:t>
      </w:r>
      <w:proofErr w:type="spellEnd"/>
      <w:r w:rsidRPr="00F25896">
        <w:t>)</w:t>
      </w:r>
      <w:r w:rsidRPr="00F25896">
        <w:br/>
        <w:t xml:space="preserve">3.3 </w:t>
      </w:r>
      <w:proofErr w:type="spellStart"/>
      <w:r w:rsidRPr="00F25896">
        <w:t>Artefaktdefinition</w:t>
      </w:r>
      <w:proofErr w:type="spellEnd"/>
      <w:r w:rsidRPr="00F25896">
        <w:t xml:space="preserve"> &amp; </w:t>
      </w:r>
      <w:proofErr w:type="spellStart"/>
      <w:r w:rsidRPr="00F25896">
        <w:t>Scope</w:t>
      </w:r>
      <w:proofErr w:type="spellEnd"/>
      <w:r w:rsidRPr="00F25896">
        <w:t xml:space="preserve"> (was ist Teil der Architektur, was nicht?) </w:t>
      </w:r>
      <w:r w:rsidRPr="00F25896">
        <w:br/>
        <w:t>3.4 Anforderungserhebung und -analyse (Literatur + EU AI Act Primärquelle)</w:t>
      </w:r>
      <w:r w:rsidRPr="00F25896">
        <w:br/>
        <w:t xml:space="preserve">3.5 </w:t>
      </w:r>
      <w:proofErr w:type="spellStart"/>
      <w:r w:rsidRPr="00F25896">
        <w:t>Traceability</w:t>
      </w:r>
      <w:proofErr w:type="spellEnd"/>
      <w:r w:rsidRPr="00F25896">
        <w:t>-Ansatz (RQ ↔ R1–</w:t>
      </w:r>
      <w:proofErr w:type="spellStart"/>
      <w:r w:rsidRPr="00F25896">
        <w:t>Rn</w:t>
      </w:r>
      <w:proofErr w:type="spellEnd"/>
      <w:r w:rsidRPr="00F25896">
        <w:t xml:space="preserve"> ↔ Komponenten ↔ Evaluation) </w:t>
      </w:r>
      <w:r w:rsidRPr="00F25896">
        <w:br/>
        <w:t>3.6 Evaluationsdesign (Kriterien + Methodenmix)</w:t>
      </w:r>
      <w:r w:rsidRPr="00F25896">
        <w:br/>
        <w:t xml:space="preserve">3.7 Interviewdesign &amp; Auswertung (Leitfaden, Sampling, Auswertelogik) </w:t>
      </w:r>
    </w:p>
    <w:p w14:paraId="7303A789" w14:textId="7694A80F" w:rsidR="005264E7" w:rsidRPr="00F25896" w:rsidRDefault="005264E7" w:rsidP="005264E7"/>
    <w:p w14:paraId="48EB8D61" w14:textId="23183706" w:rsidR="005264E7" w:rsidRPr="00F25896" w:rsidRDefault="005264E7" w:rsidP="005264E7">
      <w:r w:rsidRPr="00F25896">
        <w:rPr>
          <w:b/>
          <w:bCs/>
        </w:rPr>
        <w:t>4 Anforderungsanalyse</w:t>
      </w:r>
      <w:r w:rsidRPr="00F25896">
        <w:t xml:space="preserve"> → </w:t>
      </w:r>
      <w:proofErr w:type="spellStart"/>
      <w:r w:rsidRPr="00F25896">
        <w:t>Relevance</w:t>
      </w:r>
      <w:proofErr w:type="spellEnd"/>
      <w:r w:rsidRPr="00F25896">
        <w:t xml:space="preserve"> Cycle / beantwortet RQ1</w:t>
      </w:r>
    </w:p>
    <w:p w14:paraId="67A06831" w14:textId="2D0A522B" w:rsidR="005264E7" w:rsidRPr="00F25896" w:rsidRDefault="005264E7" w:rsidP="005264E7">
      <w:pPr>
        <w:rPr>
          <w:b/>
          <w:bCs/>
        </w:rPr>
      </w:pPr>
      <w:r w:rsidRPr="00F25896">
        <w:t>4.1 Ableitungslogik für testbare Anforderungen (MUSS/SOLL, Format R1–</w:t>
      </w:r>
      <w:proofErr w:type="spellStart"/>
      <w:r w:rsidRPr="00F25896">
        <w:t>Rn</w:t>
      </w:r>
      <w:proofErr w:type="spellEnd"/>
      <w:r w:rsidRPr="00F25896">
        <w:t>, Evidenz, Lifecycle-Phase, Bezug EU AI ACT)</w:t>
      </w:r>
    </w:p>
    <w:p w14:paraId="0F9B9AE2" w14:textId="364A9E1C" w:rsidR="005264E7" w:rsidRPr="00F25896" w:rsidRDefault="005264E7" w:rsidP="005264E7">
      <w:r w:rsidRPr="00F25896">
        <w:t>4.2 Technische Anforderungen</w:t>
      </w:r>
    </w:p>
    <w:p w14:paraId="5F917F01" w14:textId="7BF22B71" w:rsidR="005264E7" w:rsidRPr="00F25896" w:rsidRDefault="005264E7" w:rsidP="005264E7">
      <w:r w:rsidRPr="00F25896">
        <w:t>4.3 Organisatorische Anforderungen</w:t>
      </w:r>
    </w:p>
    <w:p w14:paraId="6BC23E53" w14:textId="1298D04D" w:rsidR="005264E7" w:rsidRPr="00F25896" w:rsidRDefault="005264E7" w:rsidP="005264E7">
      <w:r w:rsidRPr="00F25896">
        <w:lastRenderedPageBreak/>
        <w:t>4.4 Regulatorische Anforderungen</w:t>
      </w:r>
    </w:p>
    <w:p w14:paraId="15DDE4C0" w14:textId="26913172" w:rsidR="005264E7" w:rsidRPr="00F25896" w:rsidRDefault="005264E7" w:rsidP="005264E7">
      <w:r w:rsidRPr="00F25896">
        <w:t>4.5 Konsolidierter Anforderungskatalog</w:t>
      </w:r>
    </w:p>
    <w:p w14:paraId="3A3DF505" w14:textId="5C8C3FBB" w:rsidR="005264E7" w:rsidRPr="00F25896" w:rsidRDefault="005264E7" w:rsidP="005264E7"/>
    <w:p w14:paraId="75ED83B9" w14:textId="77777777" w:rsidR="005264E7" w:rsidRPr="00F25896" w:rsidRDefault="005264E7" w:rsidP="005264E7">
      <w:r w:rsidRPr="00F25896">
        <w:rPr>
          <w:b/>
          <w:bCs/>
        </w:rPr>
        <w:t>5 Entwicklung der Referenzarchitektur</w:t>
      </w:r>
      <w:r w:rsidRPr="00F25896">
        <w:t xml:space="preserve"> → Design Cycle / beantwortet RQ2</w:t>
      </w:r>
    </w:p>
    <w:p w14:paraId="33BB4ACC" w14:textId="77777777" w:rsidR="00CC19D6" w:rsidRDefault="005264E7" w:rsidP="006016F6">
      <w:pPr>
        <w:jc w:val="left"/>
      </w:pPr>
      <w:r w:rsidRPr="00F25896">
        <w:t>5.1 Design-Prinzipien (DP-1..DP-n, begründet aus R1–</w:t>
      </w:r>
      <w:proofErr w:type="spellStart"/>
      <w:r w:rsidRPr="00F25896">
        <w:t>Rn</w:t>
      </w:r>
      <w:proofErr w:type="spellEnd"/>
      <w:r w:rsidRPr="00F25896">
        <w:t>)</w:t>
      </w:r>
      <w:r w:rsidRPr="00F25896">
        <w:br/>
        <w:t>5.2 Architekturübersicht: Schichtenmodell, Module, Schnittstellen, Verantwortlichkeiten</w:t>
      </w:r>
      <w:r w:rsidRPr="00F25896">
        <w:br/>
        <w:t>5.3 Quality-Gate-Framework</w:t>
      </w:r>
      <w:r w:rsidRPr="00F25896">
        <w:br/>
        <w:t xml:space="preserve">5.3.0 Gate-Template (Trigger, </w:t>
      </w:r>
      <w:proofErr w:type="spellStart"/>
      <w:r w:rsidRPr="00F25896">
        <w:t>Evidence</w:t>
      </w:r>
      <w:proofErr w:type="spellEnd"/>
      <w:r w:rsidRPr="00F25896">
        <w:t xml:space="preserve">, Policy, </w:t>
      </w:r>
      <w:proofErr w:type="spellStart"/>
      <w:r w:rsidRPr="00F25896">
        <w:t>Decision</w:t>
      </w:r>
      <w:proofErr w:type="spellEnd"/>
      <w:r w:rsidRPr="00F25896">
        <w:t xml:space="preserve">, </w:t>
      </w:r>
      <w:proofErr w:type="spellStart"/>
      <w:r w:rsidRPr="00F25896">
        <w:t>Owner</w:t>
      </w:r>
      <w:proofErr w:type="spellEnd"/>
      <w:r w:rsidRPr="00F25896">
        <w:t xml:space="preserve">, Audit Trail, Waiver) </w:t>
      </w:r>
      <w:r w:rsidRPr="00F25896">
        <w:br/>
        <w:t xml:space="preserve">- 5.3.1 Strategische Gates (Lifecycle </w:t>
      </w:r>
      <w:proofErr w:type="spellStart"/>
      <w:r w:rsidRPr="00F25896">
        <w:t>Governance</w:t>
      </w:r>
      <w:proofErr w:type="spellEnd"/>
      <w:r w:rsidRPr="00F25896">
        <w:t>)</w:t>
      </w:r>
      <w:r w:rsidRPr="00F25896">
        <w:br/>
        <w:t>- 5.3.2 Technische Gates (Qualität/Performance/</w:t>
      </w:r>
      <w:proofErr w:type="spellStart"/>
      <w:r w:rsidRPr="00F25896">
        <w:t>Safety-Evals</w:t>
      </w:r>
      <w:proofErr w:type="spellEnd"/>
      <w:r w:rsidRPr="00F25896">
        <w:t>, Monitoring)</w:t>
      </w:r>
      <w:r w:rsidRPr="00F25896">
        <w:br/>
        <w:t>- 5.3.3 Compliance Gates (EU AI Act → Policy-</w:t>
      </w:r>
      <w:proofErr w:type="spellStart"/>
      <w:r w:rsidRPr="00F25896">
        <w:t>as</w:t>
      </w:r>
      <w:proofErr w:type="spellEnd"/>
      <w:r w:rsidRPr="00F25896">
        <w:t xml:space="preserve">-Code + </w:t>
      </w:r>
      <w:proofErr w:type="spellStart"/>
      <w:r w:rsidRPr="00F25896">
        <w:t>Evidence</w:t>
      </w:r>
      <w:proofErr w:type="spellEnd"/>
      <w:r w:rsidRPr="00F25896">
        <w:t>)</w:t>
      </w:r>
      <w:r w:rsidRPr="00F25896">
        <w:br/>
        <w:t xml:space="preserve">- 5.3.4 Gate-Katalog (Übersichtstabelle über alle Gates) </w:t>
      </w:r>
    </w:p>
    <w:p w14:paraId="288896AB" w14:textId="173051B5" w:rsidR="005264E7" w:rsidRPr="00CC19D6" w:rsidRDefault="005264E7" w:rsidP="006016F6">
      <w:pPr>
        <w:jc w:val="left"/>
      </w:pPr>
      <w:r w:rsidRPr="00CC19D6">
        <w:t xml:space="preserve">5.4 Integration in CI/CD/CT-Pipelines (Policy Engine, </w:t>
      </w:r>
      <w:proofErr w:type="spellStart"/>
      <w:r w:rsidRPr="00CC19D6">
        <w:t>Evidence</w:t>
      </w:r>
      <w:proofErr w:type="spellEnd"/>
      <w:r w:rsidRPr="00CC19D6">
        <w:t xml:space="preserve"> Store, Automation Points)</w:t>
      </w:r>
    </w:p>
    <w:p w14:paraId="05742F3C" w14:textId="1F4092F2" w:rsidR="005264E7" w:rsidRPr="00F25896" w:rsidRDefault="005264E7" w:rsidP="005264E7"/>
    <w:p w14:paraId="5544CDDD" w14:textId="77777777" w:rsidR="005264E7" w:rsidRPr="00F25896" w:rsidRDefault="005264E7" w:rsidP="005264E7">
      <w:r w:rsidRPr="00F25896">
        <w:rPr>
          <w:b/>
          <w:bCs/>
        </w:rPr>
        <w:t>6 Evaluation</w:t>
      </w:r>
      <w:r w:rsidRPr="00F25896">
        <w:t xml:space="preserve"> → beantwortet RQ3</w:t>
      </w:r>
    </w:p>
    <w:p w14:paraId="2CDD4FCC" w14:textId="73D798B7" w:rsidR="005264E7" w:rsidRPr="00F25896" w:rsidRDefault="005264E7" w:rsidP="005264E7">
      <w:r w:rsidRPr="00F25896">
        <w:t xml:space="preserve">6.0 Evaluationskriterien (z. B. Coverage, Automatisierbarkeit, </w:t>
      </w:r>
      <w:proofErr w:type="spellStart"/>
      <w:proofErr w:type="gramStart"/>
      <w:r w:rsidRPr="00F25896">
        <w:t>Auditierbarkeit</w:t>
      </w:r>
      <w:proofErr w:type="spellEnd"/>
      <w:r w:rsidRPr="00F25896">
        <w:t>,  Praxistauglichkeit</w:t>
      </w:r>
      <w:proofErr w:type="gramEnd"/>
      <w:r w:rsidRPr="00F25896">
        <w:t>)</w:t>
      </w:r>
    </w:p>
    <w:p w14:paraId="4B9A728C" w14:textId="77777777" w:rsidR="005264E7" w:rsidRPr="00F25896" w:rsidRDefault="005264E7" w:rsidP="005264E7">
      <w:r w:rsidRPr="00F25896">
        <w:t>6.1 Requirements-Coverage-Check</w:t>
      </w:r>
    </w:p>
    <w:p w14:paraId="7F2947D6" w14:textId="77777777" w:rsidR="005264E7" w:rsidRPr="00F25896" w:rsidRDefault="005264E7" w:rsidP="005264E7">
      <w:r w:rsidRPr="00F25896">
        <w:t>6.2 Szenario-basierter Walkthrough: Ambient AI Scribe</w:t>
      </w:r>
    </w:p>
    <w:p w14:paraId="12D889B4" w14:textId="77777777" w:rsidR="005264E7" w:rsidRPr="00F25896" w:rsidRDefault="005264E7" w:rsidP="005264E7">
      <w:r w:rsidRPr="00F25896">
        <w:t>6.3 Prototypische Implementierung (PoC)</w:t>
      </w:r>
    </w:p>
    <w:p w14:paraId="749C6513" w14:textId="3DB532E5" w:rsidR="005264E7" w:rsidRPr="00F25896" w:rsidRDefault="005264E7" w:rsidP="005264E7">
      <w:r w:rsidRPr="00F25896">
        <w:t>-  6.3.1 Technisches Quality Gate</w:t>
      </w:r>
    </w:p>
    <w:p w14:paraId="70DAA6A6" w14:textId="0B522330" w:rsidR="005264E7" w:rsidRPr="00F25896" w:rsidRDefault="005264E7" w:rsidP="005264E7">
      <w:r w:rsidRPr="00F25896">
        <w:t xml:space="preserve">- </w:t>
      </w:r>
      <w:r w:rsidR="00CC19D6">
        <w:t xml:space="preserve"> </w:t>
      </w:r>
      <w:r w:rsidRPr="00F25896">
        <w:t>6.3.2 Compliance Gate (Policy-</w:t>
      </w:r>
      <w:proofErr w:type="spellStart"/>
      <w:r w:rsidRPr="00F25896">
        <w:t>as</w:t>
      </w:r>
      <w:proofErr w:type="spellEnd"/>
      <w:r w:rsidRPr="00F25896">
        <w:t>-Code)</w:t>
      </w:r>
    </w:p>
    <w:p w14:paraId="29C406CD" w14:textId="77777777" w:rsidR="005264E7" w:rsidRPr="00F25896" w:rsidRDefault="005264E7" w:rsidP="005264E7">
      <w:r w:rsidRPr="00F25896">
        <w:t>6.4 Experteninterviews: Durchführung und Ergebnisse</w:t>
      </w:r>
    </w:p>
    <w:p w14:paraId="6045A111" w14:textId="77777777" w:rsidR="005264E7" w:rsidRPr="00F25896" w:rsidRDefault="005264E7" w:rsidP="005264E7">
      <w:r w:rsidRPr="00F25896">
        <w:t>6.5 Synthese der Evaluationsergebnisse</w:t>
      </w:r>
    </w:p>
    <w:p w14:paraId="56911F47" w14:textId="44BAAE00" w:rsidR="005264E7" w:rsidRPr="00CC19D6" w:rsidRDefault="005264E7" w:rsidP="005264E7">
      <w:pPr>
        <w:rPr>
          <w:b/>
          <w:bCs/>
        </w:rPr>
      </w:pPr>
    </w:p>
    <w:p w14:paraId="1869D89D" w14:textId="77777777" w:rsidR="005264E7" w:rsidRPr="00CC19D6" w:rsidRDefault="005264E7" w:rsidP="005264E7">
      <w:pPr>
        <w:rPr>
          <w:b/>
          <w:bCs/>
        </w:rPr>
      </w:pPr>
      <w:r w:rsidRPr="00CC19D6">
        <w:rPr>
          <w:b/>
          <w:bCs/>
        </w:rPr>
        <w:t>7 Diskussion</w:t>
      </w:r>
    </w:p>
    <w:p w14:paraId="2FA7AF24" w14:textId="77777777" w:rsidR="005264E7" w:rsidRPr="00F25896" w:rsidRDefault="005264E7" w:rsidP="005264E7">
      <w:r w:rsidRPr="00F25896">
        <w:t>7.1 Beantwortung der Forschungsfragen</w:t>
      </w:r>
    </w:p>
    <w:p w14:paraId="4EF6C315" w14:textId="77777777" w:rsidR="005264E7" w:rsidRPr="00F25896" w:rsidRDefault="005264E7" w:rsidP="005264E7">
      <w:r w:rsidRPr="00F25896">
        <w:t>7.2 Wissenschaftlicher Beitrag und Einordnung</w:t>
      </w:r>
    </w:p>
    <w:p w14:paraId="1CF02435" w14:textId="0F66D571" w:rsidR="005264E7" w:rsidRPr="00F25896" w:rsidRDefault="005264E7" w:rsidP="005264E7">
      <w:r w:rsidRPr="00F25896">
        <w:t xml:space="preserve"> - 7.2.1 Design Knowledge: übertragbare Muster/Prinzipien (DSR-Beitrag)</w:t>
      </w:r>
    </w:p>
    <w:p w14:paraId="6BA6CFA6" w14:textId="77777777" w:rsidR="005264E7" w:rsidRPr="00F25896" w:rsidRDefault="005264E7" w:rsidP="005264E7">
      <w:r w:rsidRPr="00F25896">
        <w:t>7.3 Implikationen für die Praxis</w:t>
      </w:r>
    </w:p>
    <w:p w14:paraId="7978F708" w14:textId="77777777" w:rsidR="005264E7" w:rsidRPr="00F25896" w:rsidRDefault="005264E7" w:rsidP="005264E7">
      <w:r w:rsidRPr="00F25896">
        <w:t>7.4 Limitationen</w:t>
      </w:r>
    </w:p>
    <w:p w14:paraId="01F069DA" w14:textId="376D969F" w:rsidR="005264E7" w:rsidRDefault="005264E7" w:rsidP="005264E7">
      <w:r w:rsidRPr="00F25896">
        <w:t>7.5 Weiterer Forschungsbedarf</w:t>
      </w:r>
    </w:p>
    <w:p w14:paraId="4151F495" w14:textId="77777777" w:rsidR="00CC19D6" w:rsidRPr="00CC19D6" w:rsidRDefault="00CC19D6" w:rsidP="005264E7">
      <w:pPr>
        <w:rPr>
          <w:b/>
          <w:bCs/>
        </w:rPr>
      </w:pPr>
    </w:p>
    <w:p w14:paraId="7F1993B4" w14:textId="77777777" w:rsidR="005264E7" w:rsidRDefault="005264E7" w:rsidP="005264E7">
      <w:pPr>
        <w:rPr>
          <w:b/>
          <w:bCs/>
        </w:rPr>
      </w:pPr>
      <w:r w:rsidRPr="00CC19D6">
        <w:rPr>
          <w:b/>
          <w:bCs/>
        </w:rPr>
        <w:t>8 Fazit und Ausblick</w:t>
      </w:r>
    </w:p>
    <w:p w14:paraId="6CB31B76" w14:textId="77777777" w:rsidR="00A63633" w:rsidRDefault="00A63633" w:rsidP="005264E7">
      <w:pPr>
        <w:rPr>
          <w:b/>
          <w:bCs/>
        </w:rPr>
      </w:pPr>
    </w:p>
    <w:p w14:paraId="36BF23C3" w14:textId="77777777" w:rsidR="00A63633" w:rsidRDefault="00A63633" w:rsidP="005264E7">
      <w:pPr>
        <w:rPr>
          <w:b/>
          <w:bCs/>
        </w:rPr>
      </w:pPr>
    </w:p>
    <w:p w14:paraId="243B0029" w14:textId="07BC7DE3" w:rsidR="006C5CB9" w:rsidRPr="003A0A87" w:rsidRDefault="006C5CB9" w:rsidP="003A0A87">
      <w:pPr>
        <w:pStyle w:val="berschrift2"/>
        <w:ind w:hanging="426"/>
        <w:rPr>
          <w:rFonts w:cs="Arial"/>
        </w:rPr>
      </w:pPr>
      <w:bookmarkStart w:id="13" w:name="_Toc222521090"/>
      <w:r w:rsidRPr="003A0A87">
        <w:rPr>
          <w:rFonts w:cs="Arial"/>
        </w:rPr>
        <w:lastRenderedPageBreak/>
        <w:t>Literaturverzeichnis (</w:t>
      </w:r>
      <w:proofErr w:type="gramStart"/>
      <w:r w:rsidR="00890777" w:rsidRPr="003A0A87">
        <w:rPr>
          <w:rFonts w:cs="Arial"/>
        </w:rPr>
        <w:t>Exposé</w:t>
      </w:r>
      <w:proofErr w:type="gramEnd"/>
      <w:r w:rsidR="00890777" w:rsidRPr="003A0A87">
        <w:rPr>
          <w:rFonts w:cs="Arial"/>
        </w:rPr>
        <w:t>)</w:t>
      </w:r>
      <w:bookmarkEnd w:id="13"/>
    </w:p>
    <w:p w14:paraId="5E89269D" w14:textId="77777777" w:rsidR="003A0A87" w:rsidRPr="003A0A87" w:rsidRDefault="003A0A87" w:rsidP="003A0A87">
      <w:pPr>
        <w:pStyle w:val="font-claude-response-body"/>
        <w:spacing w:line="276" w:lineRule="auto"/>
        <w:ind w:hanging="426"/>
        <w:rPr>
          <w:rFonts w:ascii="Arial" w:hAnsi="Arial"/>
        </w:rPr>
      </w:pPr>
      <w:proofErr w:type="spellStart"/>
      <w:r w:rsidRPr="003A0A87">
        <w:rPr>
          <w:rFonts w:ascii="Arial" w:hAnsi="Arial"/>
        </w:rPr>
        <w:t>Blancato</w:t>
      </w:r>
      <w:proofErr w:type="spellEnd"/>
      <w:r w:rsidRPr="003A0A87">
        <w:rPr>
          <w:rFonts w:ascii="Arial" w:hAnsi="Arial"/>
        </w:rPr>
        <w:t xml:space="preserve">, F. G. (2024). The </w:t>
      </w:r>
      <w:proofErr w:type="spellStart"/>
      <w:r w:rsidRPr="003A0A87">
        <w:rPr>
          <w:rFonts w:ascii="Arial" w:hAnsi="Arial"/>
        </w:rPr>
        <w:t>cloud</w:t>
      </w:r>
      <w:proofErr w:type="spellEnd"/>
      <w:r w:rsidRPr="003A0A87">
        <w:rPr>
          <w:rFonts w:ascii="Arial" w:hAnsi="Arial"/>
        </w:rPr>
        <w:t xml:space="preserve"> </w:t>
      </w:r>
      <w:proofErr w:type="spellStart"/>
      <w:r w:rsidRPr="003A0A87">
        <w:rPr>
          <w:rFonts w:ascii="Arial" w:hAnsi="Arial"/>
        </w:rPr>
        <w:t>sovereignty</w:t>
      </w:r>
      <w:proofErr w:type="spellEnd"/>
      <w:r w:rsidRPr="003A0A87">
        <w:rPr>
          <w:rFonts w:ascii="Arial" w:hAnsi="Arial"/>
        </w:rPr>
        <w:t xml:space="preserve"> </w:t>
      </w:r>
      <w:proofErr w:type="spellStart"/>
      <w:r w:rsidRPr="003A0A87">
        <w:rPr>
          <w:rFonts w:ascii="Arial" w:hAnsi="Arial"/>
        </w:rPr>
        <w:t>nexus</w:t>
      </w:r>
      <w:proofErr w:type="spellEnd"/>
      <w:r w:rsidRPr="003A0A87">
        <w:rPr>
          <w:rFonts w:ascii="Arial" w:hAnsi="Arial"/>
        </w:rPr>
        <w:t xml:space="preserve">: How </w:t>
      </w:r>
      <w:proofErr w:type="spellStart"/>
      <w:r w:rsidRPr="003A0A87">
        <w:rPr>
          <w:rFonts w:ascii="Arial" w:hAnsi="Arial"/>
        </w:rPr>
        <w:t>the</w:t>
      </w:r>
      <w:proofErr w:type="spellEnd"/>
      <w:r w:rsidRPr="003A0A87">
        <w:rPr>
          <w:rFonts w:ascii="Arial" w:hAnsi="Arial"/>
        </w:rPr>
        <w:t xml:space="preserve"> European Union </w:t>
      </w:r>
      <w:proofErr w:type="spellStart"/>
      <w:r w:rsidRPr="003A0A87">
        <w:rPr>
          <w:rFonts w:ascii="Arial" w:hAnsi="Arial"/>
        </w:rPr>
        <w:t>seeks</w:t>
      </w:r>
      <w:proofErr w:type="spellEnd"/>
      <w:r w:rsidRPr="003A0A87">
        <w:rPr>
          <w:rFonts w:ascii="Arial" w:hAnsi="Arial"/>
        </w:rPr>
        <w:t xml:space="preserve"> </w:t>
      </w:r>
      <w:proofErr w:type="spellStart"/>
      <w:r w:rsidRPr="003A0A87">
        <w:rPr>
          <w:rFonts w:ascii="Arial" w:hAnsi="Arial"/>
        </w:rPr>
        <w:t>to</w:t>
      </w:r>
      <w:proofErr w:type="spellEnd"/>
      <w:r w:rsidRPr="003A0A87">
        <w:rPr>
          <w:rFonts w:ascii="Arial" w:hAnsi="Arial"/>
        </w:rPr>
        <w:t xml:space="preserve"> reverse </w:t>
      </w:r>
      <w:proofErr w:type="spellStart"/>
      <w:r w:rsidRPr="003A0A87">
        <w:rPr>
          <w:rFonts w:ascii="Arial" w:hAnsi="Arial"/>
        </w:rPr>
        <w:t>strategic</w:t>
      </w:r>
      <w:proofErr w:type="spellEnd"/>
      <w:r w:rsidRPr="003A0A87">
        <w:rPr>
          <w:rFonts w:ascii="Arial" w:hAnsi="Arial"/>
        </w:rPr>
        <w:t xml:space="preserve"> </w:t>
      </w:r>
      <w:proofErr w:type="spellStart"/>
      <w:r w:rsidRPr="003A0A87">
        <w:rPr>
          <w:rFonts w:ascii="Arial" w:hAnsi="Arial"/>
        </w:rPr>
        <w:t>dependencies</w:t>
      </w:r>
      <w:proofErr w:type="spellEnd"/>
      <w:r w:rsidRPr="003A0A87">
        <w:rPr>
          <w:rFonts w:ascii="Arial" w:hAnsi="Arial"/>
        </w:rPr>
        <w:t xml:space="preserve"> in </w:t>
      </w:r>
      <w:proofErr w:type="spellStart"/>
      <w:r w:rsidRPr="003A0A87">
        <w:rPr>
          <w:rFonts w:ascii="Arial" w:hAnsi="Arial"/>
        </w:rPr>
        <w:t>its</w:t>
      </w:r>
      <w:proofErr w:type="spellEnd"/>
      <w:r w:rsidRPr="003A0A87">
        <w:rPr>
          <w:rFonts w:ascii="Arial" w:hAnsi="Arial"/>
        </w:rPr>
        <w:t xml:space="preserve"> digital </w:t>
      </w:r>
      <w:proofErr w:type="spellStart"/>
      <w:r w:rsidRPr="003A0A87">
        <w:rPr>
          <w:rFonts w:ascii="Arial" w:hAnsi="Arial"/>
        </w:rPr>
        <w:t>ecosystem</w:t>
      </w:r>
      <w:proofErr w:type="spellEnd"/>
      <w:r w:rsidRPr="003A0A87">
        <w:rPr>
          <w:rFonts w:ascii="Arial" w:hAnsi="Arial"/>
        </w:rPr>
        <w:t xml:space="preserve">. </w:t>
      </w:r>
      <w:r w:rsidRPr="003A0A87">
        <w:rPr>
          <w:rStyle w:val="Hervorhebung"/>
          <w:rFonts w:ascii="Arial" w:hAnsi="Arial"/>
        </w:rPr>
        <w:t>Policy &amp; Internet</w:t>
      </w:r>
      <w:r w:rsidRPr="003A0A87">
        <w:rPr>
          <w:rFonts w:ascii="Arial" w:hAnsi="Arial"/>
        </w:rPr>
        <w:t xml:space="preserve">, </w:t>
      </w:r>
      <w:r w:rsidRPr="003A0A87">
        <w:rPr>
          <w:rStyle w:val="Hervorhebung"/>
          <w:rFonts w:ascii="Arial" w:hAnsi="Arial"/>
        </w:rPr>
        <w:t>16</w:t>
      </w:r>
      <w:r w:rsidRPr="003A0A87">
        <w:rPr>
          <w:rFonts w:ascii="Arial" w:hAnsi="Arial"/>
        </w:rPr>
        <w:t xml:space="preserve">(1), 12–30. </w:t>
      </w:r>
      <w:hyperlink r:id="rId8" w:history="1">
        <w:r w:rsidRPr="003A0A87">
          <w:rPr>
            <w:rStyle w:val="Hyperlink"/>
            <w:rFonts w:ascii="Arial" w:hAnsi="Arial"/>
          </w:rPr>
          <w:t>https://doi.org/10.1002/poi3.358</w:t>
        </w:r>
      </w:hyperlink>
    </w:p>
    <w:p w14:paraId="5A580A99" w14:textId="77777777" w:rsidR="003A0A87" w:rsidRPr="003A0A87" w:rsidRDefault="003A0A87" w:rsidP="003A0A87">
      <w:pPr>
        <w:pStyle w:val="font-claude-response-body"/>
        <w:spacing w:line="276" w:lineRule="auto"/>
        <w:ind w:hanging="426"/>
        <w:rPr>
          <w:rFonts w:ascii="Arial" w:hAnsi="Arial"/>
          <w:sz w:val="24"/>
          <w:szCs w:val="24"/>
        </w:rPr>
      </w:pPr>
    </w:p>
    <w:p w14:paraId="4E9B437B" w14:textId="2F9E54D4" w:rsidR="003A0A87" w:rsidRPr="003A0A87" w:rsidRDefault="003A0A87" w:rsidP="003A0A87">
      <w:pPr>
        <w:pStyle w:val="font-claude-response-body"/>
        <w:spacing w:line="276" w:lineRule="auto"/>
        <w:ind w:hanging="426"/>
        <w:rPr>
          <w:rFonts w:ascii="Arial" w:hAnsi="Arial"/>
        </w:rPr>
      </w:pPr>
      <w:r w:rsidRPr="003A0A87">
        <w:rPr>
          <w:rFonts w:ascii="Arial" w:hAnsi="Arial"/>
        </w:rPr>
        <w:t>Díaz-De-</w:t>
      </w:r>
      <w:proofErr w:type="spellStart"/>
      <w:r w:rsidRPr="003A0A87">
        <w:rPr>
          <w:rFonts w:ascii="Arial" w:hAnsi="Arial"/>
        </w:rPr>
        <w:t>Arcaya</w:t>
      </w:r>
      <w:proofErr w:type="spellEnd"/>
      <w:r w:rsidRPr="003A0A87">
        <w:rPr>
          <w:rFonts w:ascii="Arial" w:hAnsi="Arial"/>
        </w:rPr>
        <w:t>, J., Torre-</w:t>
      </w:r>
      <w:proofErr w:type="spellStart"/>
      <w:r w:rsidRPr="003A0A87">
        <w:rPr>
          <w:rFonts w:ascii="Arial" w:hAnsi="Arial"/>
        </w:rPr>
        <w:t>Bastida</w:t>
      </w:r>
      <w:proofErr w:type="spellEnd"/>
      <w:r w:rsidRPr="003A0A87">
        <w:rPr>
          <w:rFonts w:ascii="Arial" w:hAnsi="Arial"/>
        </w:rPr>
        <w:t xml:space="preserve">, A. I., </w:t>
      </w:r>
      <w:proofErr w:type="spellStart"/>
      <w:r w:rsidRPr="003A0A87">
        <w:rPr>
          <w:rFonts w:ascii="Arial" w:hAnsi="Arial"/>
        </w:rPr>
        <w:t>Zárate</w:t>
      </w:r>
      <w:proofErr w:type="spellEnd"/>
      <w:r w:rsidRPr="003A0A87">
        <w:rPr>
          <w:rFonts w:ascii="Arial" w:hAnsi="Arial"/>
        </w:rPr>
        <w:t xml:space="preserve">, G., </w:t>
      </w:r>
      <w:proofErr w:type="spellStart"/>
      <w:r w:rsidRPr="003A0A87">
        <w:rPr>
          <w:rFonts w:ascii="Arial" w:hAnsi="Arial"/>
        </w:rPr>
        <w:t>Miñón</w:t>
      </w:r>
      <w:proofErr w:type="spellEnd"/>
      <w:r w:rsidRPr="003A0A87">
        <w:rPr>
          <w:rFonts w:ascii="Arial" w:hAnsi="Arial"/>
        </w:rPr>
        <w:t xml:space="preserve">, R., &amp; Almeida, A. (2024). </w:t>
      </w:r>
      <w:proofErr w:type="spellStart"/>
      <w:r w:rsidRPr="003A0A87">
        <w:rPr>
          <w:rFonts w:ascii="Arial" w:hAnsi="Arial"/>
        </w:rPr>
        <w:t>LLMOps</w:t>
      </w:r>
      <w:proofErr w:type="spellEnd"/>
      <w:r w:rsidRPr="003A0A87">
        <w:rPr>
          <w:rFonts w:ascii="Arial" w:hAnsi="Arial"/>
        </w:rPr>
        <w:t xml:space="preserve">: A State </w:t>
      </w:r>
      <w:proofErr w:type="spellStart"/>
      <w:r w:rsidRPr="003A0A87">
        <w:rPr>
          <w:rFonts w:ascii="Arial" w:hAnsi="Arial"/>
        </w:rPr>
        <w:t>of</w:t>
      </w:r>
      <w:proofErr w:type="spellEnd"/>
      <w:r w:rsidRPr="003A0A87">
        <w:rPr>
          <w:rFonts w:ascii="Arial" w:hAnsi="Arial"/>
        </w:rPr>
        <w:t xml:space="preserve"> </w:t>
      </w:r>
      <w:proofErr w:type="spellStart"/>
      <w:r w:rsidRPr="003A0A87">
        <w:rPr>
          <w:rFonts w:ascii="Arial" w:hAnsi="Arial"/>
        </w:rPr>
        <w:t>the</w:t>
      </w:r>
      <w:proofErr w:type="spellEnd"/>
      <w:r w:rsidRPr="003A0A87">
        <w:rPr>
          <w:rFonts w:ascii="Arial" w:hAnsi="Arial"/>
        </w:rPr>
        <w:t xml:space="preserve"> Art and </w:t>
      </w:r>
      <w:proofErr w:type="spellStart"/>
      <w:r w:rsidRPr="003A0A87">
        <w:rPr>
          <w:rFonts w:ascii="Arial" w:hAnsi="Arial"/>
        </w:rPr>
        <w:t>Comprehensive</w:t>
      </w:r>
      <w:proofErr w:type="spellEnd"/>
      <w:r w:rsidRPr="003A0A87">
        <w:rPr>
          <w:rFonts w:ascii="Arial" w:hAnsi="Arial"/>
        </w:rPr>
        <w:t xml:space="preserve"> </w:t>
      </w:r>
      <w:proofErr w:type="spellStart"/>
      <w:r w:rsidRPr="003A0A87">
        <w:rPr>
          <w:rFonts w:ascii="Arial" w:hAnsi="Arial"/>
        </w:rPr>
        <w:t>Overview</w:t>
      </w:r>
      <w:proofErr w:type="spellEnd"/>
      <w:r w:rsidRPr="003A0A87">
        <w:rPr>
          <w:rFonts w:ascii="Arial" w:hAnsi="Arial"/>
        </w:rPr>
        <w:t xml:space="preserve">. </w:t>
      </w:r>
      <w:proofErr w:type="spellStart"/>
      <w:r w:rsidRPr="003A0A87">
        <w:rPr>
          <w:rStyle w:val="Hervorhebung"/>
          <w:rFonts w:ascii="Arial" w:hAnsi="Arial"/>
        </w:rPr>
        <w:t>arXiv</w:t>
      </w:r>
      <w:proofErr w:type="spellEnd"/>
      <w:r w:rsidRPr="003A0A87">
        <w:rPr>
          <w:rStyle w:val="Hervorhebung"/>
          <w:rFonts w:ascii="Arial" w:hAnsi="Arial"/>
        </w:rPr>
        <w:t xml:space="preserve"> </w:t>
      </w:r>
      <w:proofErr w:type="spellStart"/>
      <w:r w:rsidRPr="003A0A87">
        <w:rPr>
          <w:rStyle w:val="Hervorhebung"/>
          <w:rFonts w:ascii="Arial" w:hAnsi="Arial"/>
        </w:rPr>
        <w:t>preprint</w:t>
      </w:r>
      <w:proofErr w:type="spellEnd"/>
      <w:r w:rsidRPr="003A0A87">
        <w:rPr>
          <w:rFonts w:ascii="Arial" w:hAnsi="Arial"/>
        </w:rPr>
        <w:t xml:space="preserve">, arXiv:2407.11657. </w:t>
      </w:r>
      <w:r w:rsidR="0022425C" w:rsidRPr="0022425C">
        <w:rPr>
          <w:rStyle w:val="Hyperlink"/>
          <w:rFonts w:ascii="Arial" w:hAnsi="Arial"/>
        </w:rPr>
        <w:t>https://doi.org/10.15223/policy-029</w:t>
      </w:r>
      <w:r w:rsidR="0022425C" w:rsidRPr="0022425C">
        <w:rPr>
          <w:rFonts w:ascii="Arial" w:hAnsi="Arial"/>
          <w:color w:val="A5C9EB" w:themeColor="text2" w:themeTint="40"/>
        </w:rPr>
        <w:t xml:space="preserve"> </w:t>
      </w:r>
    </w:p>
    <w:p w14:paraId="2DBD482A" w14:textId="77777777" w:rsidR="003A0A87" w:rsidRPr="003A0A87" w:rsidRDefault="003A0A87" w:rsidP="003A0A87">
      <w:pPr>
        <w:pStyle w:val="font-claude-response-body"/>
        <w:spacing w:line="276" w:lineRule="auto"/>
        <w:ind w:hanging="426"/>
        <w:rPr>
          <w:rFonts w:ascii="Arial" w:hAnsi="Arial"/>
        </w:rPr>
      </w:pPr>
    </w:p>
    <w:p w14:paraId="3578957C" w14:textId="77777777" w:rsidR="003A0A87" w:rsidRPr="003A0A87" w:rsidRDefault="003A0A87" w:rsidP="003A0A87">
      <w:pPr>
        <w:pStyle w:val="font-claude-response-body"/>
        <w:spacing w:line="276" w:lineRule="auto"/>
        <w:ind w:hanging="426"/>
        <w:rPr>
          <w:rFonts w:ascii="Arial" w:hAnsi="Arial"/>
        </w:rPr>
      </w:pPr>
      <w:r w:rsidRPr="003A0A87">
        <w:rPr>
          <w:rFonts w:ascii="Arial" w:hAnsi="Arial"/>
        </w:rPr>
        <w:t xml:space="preserve">Díaz-Rodríguez, N., Del </w:t>
      </w:r>
      <w:proofErr w:type="spellStart"/>
      <w:r w:rsidRPr="003A0A87">
        <w:rPr>
          <w:rFonts w:ascii="Arial" w:hAnsi="Arial"/>
        </w:rPr>
        <w:t>Ser</w:t>
      </w:r>
      <w:proofErr w:type="spellEnd"/>
      <w:r w:rsidRPr="003A0A87">
        <w:rPr>
          <w:rFonts w:ascii="Arial" w:hAnsi="Arial"/>
        </w:rPr>
        <w:t xml:space="preserve">, J., </w:t>
      </w:r>
      <w:proofErr w:type="spellStart"/>
      <w:r w:rsidRPr="003A0A87">
        <w:rPr>
          <w:rFonts w:ascii="Arial" w:hAnsi="Arial"/>
        </w:rPr>
        <w:t>Coeckelbergh</w:t>
      </w:r>
      <w:proofErr w:type="spellEnd"/>
      <w:r w:rsidRPr="003A0A87">
        <w:rPr>
          <w:rFonts w:ascii="Arial" w:hAnsi="Arial"/>
        </w:rPr>
        <w:t>, M., López de Prado, M., Herrera-</w:t>
      </w:r>
      <w:proofErr w:type="spellStart"/>
      <w:r w:rsidRPr="003A0A87">
        <w:rPr>
          <w:rFonts w:ascii="Arial" w:hAnsi="Arial"/>
        </w:rPr>
        <w:t>Viedma</w:t>
      </w:r>
      <w:proofErr w:type="spellEnd"/>
      <w:r w:rsidRPr="003A0A87">
        <w:rPr>
          <w:rFonts w:ascii="Arial" w:hAnsi="Arial"/>
        </w:rPr>
        <w:t xml:space="preserve">, E., &amp; Herrera, F. (2023). </w:t>
      </w:r>
      <w:proofErr w:type="spellStart"/>
      <w:r w:rsidRPr="003A0A87">
        <w:rPr>
          <w:rFonts w:ascii="Arial" w:hAnsi="Arial"/>
        </w:rPr>
        <w:t>Connecting</w:t>
      </w:r>
      <w:proofErr w:type="spellEnd"/>
      <w:r w:rsidRPr="003A0A87">
        <w:rPr>
          <w:rFonts w:ascii="Arial" w:hAnsi="Arial"/>
        </w:rPr>
        <w:t xml:space="preserve"> </w:t>
      </w:r>
      <w:proofErr w:type="spellStart"/>
      <w:r w:rsidRPr="003A0A87">
        <w:rPr>
          <w:rFonts w:ascii="Arial" w:hAnsi="Arial"/>
        </w:rPr>
        <w:t>the</w:t>
      </w:r>
      <w:proofErr w:type="spellEnd"/>
      <w:r w:rsidRPr="003A0A87">
        <w:rPr>
          <w:rFonts w:ascii="Arial" w:hAnsi="Arial"/>
        </w:rPr>
        <w:t xml:space="preserve"> </w:t>
      </w:r>
      <w:proofErr w:type="spellStart"/>
      <w:r w:rsidRPr="003A0A87">
        <w:rPr>
          <w:rFonts w:ascii="Arial" w:hAnsi="Arial"/>
        </w:rPr>
        <w:t>dots</w:t>
      </w:r>
      <w:proofErr w:type="spellEnd"/>
      <w:r w:rsidRPr="003A0A87">
        <w:rPr>
          <w:rFonts w:ascii="Arial" w:hAnsi="Arial"/>
        </w:rPr>
        <w:t xml:space="preserve"> in </w:t>
      </w:r>
      <w:proofErr w:type="spellStart"/>
      <w:r w:rsidRPr="003A0A87">
        <w:rPr>
          <w:rFonts w:ascii="Arial" w:hAnsi="Arial"/>
        </w:rPr>
        <w:t>trustworthy</w:t>
      </w:r>
      <w:proofErr w:type="spellEnd"/>
      <w:r w:rsidRPr="003A0A87">
        <w:rPr>
          <w:rFonts w:ascii="Arial" w:hAnsi="Arial"/>
        </w:rPr>
        <w:t xml:space="preserve"> </w:t>
      </w:r>
      <w:proofErr w:type="spellStart"/>
      <w:r w:rsidRPr="003A0A87">
        <w:rPr>
          <w:rFonts w:ascii="Arial" w:hAnsi="Arial"/>
        </w:rPr>
        <w:t>Artificial</w:t>
      </w:r>
      <w:proofErr w:type="spellEnd"/>
      <w:r w:rsidRPr="003A0A87">
        <w:rPr>
          <w:rFonts w:ascii="Arial" w:hAnsi="Arial"/>
        </w:rPr>
        <w:t xml:space="preserve"> Intelligence: </w:t>
      </w:r>
      <w:proofErr w:type="spellStart"/>
      <w:r w:rsidRPr="003A0A87">
        <w:rPr>
          <w:rFonts w:ascii="Arial" w:hAnsi="Arial"/>
        </w:rPr>
        <w:t>From</w:t>
      </w:r>
      <w:proofErr w:type="spellEnd"/>
      <w:r w:rsidRPr="003A0A87">
        <w:rPr>
          <w:rFonts w:ascii="Arial" w:hAnsi="Arial"/>
        </w:rPr>
        <w:t xml:space="preserve"> AI </w:t>
      </w:r>
      <w:proofErr w:type="spellStart"/>
      <w:r w:rsidRPr="003A0A87">
        <w:rPr>
          <w:rFonts w:ascii="Arial" w:hAnsi="Arial"/>
        </w:rPr>
        <w:t>principles</w:t>
      </w:r>
      <w:proofErr w:type="spellEnd"/>
      <w:r w:rsidRPr="003A0A87">
        <w:rPr>
          <w:rFonts w:ascii="Arial" w:hAnsi="Arial"/>
        </w:rPr>
        <w:t xml:space="preserve">, </w:t>
      </w:r>
      <w:proofErr w:type="spellStart"/>
      <w:r w:rsidRPr="003A0A87">
        <w:rPr>
          <w:rFonts w:ascii="Arial" w:hAnsi="Arial"/>
        </w:rPr>
        <w:t>ethics</w:t>
      </w:r>
      <w:proofErr w:type="spellEnd"/>
      <w:r w:rsidRPr="003A0A87">
        <w:rPr>
          <w:rFonts w:ascii="Arial" w:hAnsi="Arial"/>
        </w:rPr>
        <w:t xml:space="preserve">, and </w:t>
      </w:r>
      <w:proofErr w:type="spellStart"/>
      <w:r w:rsidRPr="003A0A87">
        <w:rPr>
          <w:rFonts w:ascii="Arial" w:hAnsi="Arial"/>
        </w:rPr>
        <w:t>key</w:t>
      </w:r>
      <w:proofErr w:type="spellEnd"/>
      <w:r w:rsidRPr="003A0A87">
        <w:rPr>
          <w:rFonts w:ascii="Arial" w:hAnsi="Arial"/>
        </w:rPr>
        <w:t xml:space="preserve"> </w:t>
      </w:r>
      <w:proofErr w:type="spellStart"/>
      <w:r w:rsidRPr="003A0A87">
        <w:rPr>
          <w:rFonts w:ascii="Arial" w:hAnsi="Arial"/>
        </w:rPr>
        <w:t>requirements</w:t>
      </w:r>
      <w:proofErr w:type="spellEnd"/>
      <w:r w:rsidRPr="003A0A87">
        <w:rPr>
          <w:rFonts w:ascii="Arial" w:hAnsi="Arial"/>
        </w:rPr>
        <w:t xml:space="preserve"> </w:t>
      </w:r>
      <w:proofErr w:type="spellStart"/>
      <w:r w:rsidRPr="003A0A87">
        <w:rPr>
          <w:rFonts w:ascii="Arial" w:hAnsi="Arial"/>
        </w:rPr>
        <w:t>to</w:t>
      </w:r>
      <w:proofErr w:type="spellEnd"/>
      <w:r w:rsidRPr="003A0A87">
        <w:rPr>
          <w:rFonts w:ascii="Arial" w:hAnsi="Arial"/>
        </w:rPr>
        <w:t xml:space="preserve"> </w:t>
      </w:r>
      <w:proofErr w:type="spellStart"/>
      <w:r w:rsidRPr="003A0A87">
        <w:rPr>
          <w:rFonts w:ascii="Arial" w:hAnsi="Arial"/>
        </w:rPr>
        <w:t>responsible</w:t>
      </w:r>
      <w:proofErr w:type="spellEnd"/>
      <w:r w:rsidRPr="003A0A87">
        <w:rPr>
          <w:rFonts w:ascii="Arial" w:hAnsi="Arial"/>
        </w:rPr>
        <w:t xml:space="preserve"> AI </w:t>
      </w:r>
      <w:proofErr w:type="spellStart"/>
      <w:r w:rsidRPr="003A0A87">
        <w:rPr>
          <w:rFonts w:ascii="Arial" w:hAnsi="Arial"/>
        </w:rPr>
        <w:t>systems</w:t>
      </w:r>
      <w:proofErr w:type="spellEnd"/>
      <w:r w:rsidRPr="003A0A87">
        <w:rPr>
          <w:rFonts w:ascii="Arial" w:hAnsi="Arial"/>
        </w:rPr>
        <w:t xml:space="preserve"> and </w:t>
      </w:r>
      <w:proofErr w:type="spellStart"/>
      <w:r w:rsidRPr="003A0A87">
        <w:rPr>
          <w:rFonts w:ascii="Arial" w:hAnsi="Arial"/>
        </w:rPr>
        <w:t>regulation</w:t>
      </w:r>
      <w:proofErr w:type="spellEnd"/>
      <w:r w:rsidRPr="003A0A87">
        <w:rPr>
          <w:rFonts w:ascii="Arial" w:hAnsi="Arial"/>
        </w:rPr>
        <w:t xml:space="preserve">. </w:t>
      </w:r>
      <w:r w:rsidRPr="003A0A87">
        <w:rPr>
          <w:rStyle w:val="Hervorhebung"/>
          <w:rFonts w:ascii="Arial" w:hAnsi="Arial"/>
        </w:rPr>
        <w:t>Information Fusion</w:t>
      </w:r>
      <w:r w:rsidRPr="003A0A87">
        <w:rPr>
          <w:rFonts w:ascii="Arial" w:hAnsi="Arial"/>
        </w:rPr>
        <w:t xml:space="preserve">, </w:t>
      </w:r>
      <w:r w:rsidRPr="003A0A87">
        <w:rPr>
          <w:rStyle w:val="Hervorhebung"/>
          <w:rFonts w:ascii="Arial" w:hAnsi="Arial"/>
        </w:rPr>
        <w:t>99</w:t>
      </w:r>
      <w:r w:rsidRPr="003A0A87">
        <w:rPr>
          <w:rFonts w:ascii="Arial" w:hAnsi="Arial"/>
        </w:rPr>
        <w:t xml:space="preserve">, 101896. </w:t>
      </w:r>
      <w:hyperlink r:id="rId9" w:history="1">
        <w:r w:rsidRPr="003A0A87">
          <w:rPr>
            <w:rStyle w:val="Hyperlink"/>
            <w:rFonts w:ascii="Arial" w:hAnsi="Arial"/>
          </w:rPr>
          <w:t>https://doi.org/10.1016/j.inffus.2023.101896</w:t>
        </w:r>
      </w:hyperlink>
    </w:p>
    <w:p w14:paraId="2426B959" w14:textId="77777777" w:rsidR="003A0A87" w:rsidRPr="003A0A87" w:rsidRDefault="003A0A87" w:rsidP="003A0A87">
      <w:pPr>
        <w:pStyle w:val="font-claude-response-body"/>
        <w:spacing w:line="276" w:lineRule="auto"/>
        <w:ind w:hanging="426"/>
        <w:rPr>
          <w:rFonts w:ascii="Arial" w:hAnsi="Arial"/>
        </w:rPr>
      </w:pPr>
    </w:p>
    <w:p w14:paraId="6E0B7AAE" w14:textId="77777777" w:rsidR="003A0A87" w:rsidRPr="003A0A87" w:rsidRDefault="003A0A87" w:rsidP="003A0A87">
      <w:pPr>
        <w:pStyle w:val="font-claude-response-body"/>
        <w:spacing w:line="276" w:lineRule="auto"/>
        <w:ind w:hanging="426"/>
        <w:rPr>
          <w:rFonts w:ascii="Arial" w:hAnsi="Arial"/>
        </w:rPr>
      </w:pPr>
      <w:r w:rsidRPr="003A0A87">
        <w:rPr>
          <w:rFonts w:ascii="Arial" w:hAnsi="Arial"/>
        </w:rPr>
        <w:t xml:space="preserve">Europäische Union. (2024). </w:t>
      </w:r>
      <w:r w:rsidRPr="003A0A87">
        <w:rPr>
          <w:rStyle w:val="Hervorhebung"/>
          <w:rFonts w:ascii="Arial" w:hAnsi="Arial"/>
        </w:rPr>
        <w:t>Verordnung (EU) 2024/1689 des Europäischen Parlaments und des Rates vom 13. Juni 2024 zur Festlegung harmonisierter Vorschriften für künstliche Intelligenz (Verordnung über künstliche Intelligenz)</w:t>
      </w:r>
      <w:r w:rsidRPr="003A0A87">
        <w:rPr>
          <w:rFonts w:ascii="Arial" w:hAnsi="Arial"/>
        </w:rPr>
        <w:t xml:space="preserve">. Amtsblatt der Europäischen Union, L 2024/1689. </w:t>
      </w:r>
      <w:hyperlink r:id="rId10" w:history="1">
        <w:r w:rsidRPr="003A0A87">
          <w:rPr>
            <w:rStyle w:val="Hyperlink"/>
            <w:rFonts w:ascii="Arial" w:hAnsi="Arial"/>
          </w:rPr>
          <w:t>https://eur-lex.europa.eu/eli/reg/2024/1689/oj</w:t>
        </w:r>
      </w:hyperlink>
    </w:p>
    <w:p w14:paraId="3D2CBFF7" w14:textId="77777777" w:rsidR="003A0A87" w:rsidRPr="003A0A87" w:rsidRDefault="003A0A87" w:rsidP="003A0A87">
      <w:pPr>
        <w:pStyle w:val="font-claude-response-body"/>
        <w:spacing w:line="276" w:lineRule="auto"/>
        <w:ind w:hanging="426"/>
        <w:rPr>
          <w:rFonts w:ascii="Arial" w:hAnsi="Arial"/>
        </w:rPr>
      </w:pPr>
    </w:p>
    <w:p w14:paraId="496E4DBC" w14:textId="77777777" w:rsidR="003A0A87" w:rsidRPr="003A0A87" w:rsidRDefault="003A0A87" w:rsidP="003A0A87">
      <w:pPr>
        <w:pStyle w:val="font-claude-response-body"/>
        <w:spacing w:line="276" w:lineRule="auto"/>
        <w:ind w:hanging="426"/>
        <w:rPr>
          <w:rFonts w:ascii="Arial" w:hAnsi="Arial"/>
        </w:rPr>
      </w:pPr>
      <w:proofErr w:type="spellStart"/>
      <w:r w:rsidRPr="003A0A87">
        <w:rPr>
          <w:rFonts w:ascii="Arial" w:hAnsi="Arial"/>
        </w:rPr>
        <w:t>Hevner</w:t>
      </w:r>
      <w:proofErr w:type="spellEnd"/>
      <w:r w:rsidRPr="003A0A87">
        <w:rPr>
          <w:rFonts w:ascii="Arial" w:hAnsi="Arial"/>
        </w:rPr>
        <w:t xml:space="preserve">, A. R., March, S. T., Park, J., &amp; Ram, S. (2004). Design </w:t>
      </w:r>
      <w:proofErr w:type="spellStart"/>
      <w:r w:rsidRPr="003A0A87">
        <w:rPr>
          <w:rFonts w:ascii="Arial" w:hAnsi="Arial"/>
        </w:rPr>
        <w:t>science</w:t>
      </w:r>
      <w:proofErr w:type="spellEnd"/>
      <w:r w:rsidRPr="003A0A87">
        <w:rPr>
          <w:rFonts w:ascii="Arial" w:hAnsi="Arial"/>
        </w:rPr>
        <w:t xml:space="preserve"> in </w:t>
      </w:r>
      <w:proofErr w:type="spellStart"/>
      <w:r w:rsidRPr="003A0A87">
        <w:rPr>
          <w:rFonts w:ascii="Arial" w:hAnsi="Arial"/>
        </w:rPr>
        <w:t>information</w:t>
      </w:r>
      <w:proofErr w:type="spellEnd"/>
      <w:r w:rsidRPr="003A0A87">
        <w:rPr>
          <w:rFonts w:ascii="Arial" w:hAnsi="Arial"/>
        </w:rPr>
        <w:t xml:space="preserve"> </w:t>
      </w:r>
      <w:proofErr w:type="spellStart"/>
      <w:r w:rsidRPr="003A0A87">
        <w:rPr>
          <w:rFonts w:ascii="Arial" w:hAnsi="Arial"/>
        </w:rPr>
        <w:t>systems</w:t>
      </w:r>
      <w:proofErr w:type="spellEnd"/>
      <w:r w:rsidRPr="003A0A87">
        <w:rPr>
          <w:rFonts w:ascii="Arial" w:hAnsi="Arial"/>
        </w:rPr>
        <w:t xml:space="preserve"> </w:t>
      </w:r>
      <w:proofErr w:type="spellStart"/>
      <w:r w:rsidRPr="003A0A87">
        <w:rPr>
          <w:rFonts w:ascii="Arial" w:hAnsi="Arial"/>
        </w:rPr>
        <w:t>research</w:t>
      </w:r>
      <w:proofErr w:type="spellEnd"/>
      <w:r w:rsidRPr="003A0A87">
        <w:rPr>
          <w:rFonts w:ascii="Arial" w:hAnsi="Arial"/>
        </w:rPr>
        <w:t xml:space="preserve">. </w:t>
      </w:r>
      <w:r w:rsidRPr="003A0A87">
        <w:rPr>
          <w:rStyle w:val="Hervorhebung"/>
          <w:rFonts w:ascii="Arial" w:hAnsi="Arial"/>
        </w:rPr>
        <w:t>MIS Quarterly</w:t>
      </w:r>
      <w:r w:rsidRPr="003A0A87">
        <w:rPr>
          <w:rFonts w:ascii="Arial" w:hAnsi="Arial"/>
        </w:rPr>
        <w:t xml:space="preserve">, </w:t>
      </w:r>
      <w:r w:rsidRPr="003A0A87">
        <w:rPr>
          <w:rStyle w:val="Hervorhebung"/>
          <w:rFonts w:ascii="Arial" w:hAnsi="Arial"/>
        </w:rPr>
        <w:t>28</w:t>
      </w:r>
      <w:r w:rsidRPr="003A0A87">
        <w:rPr>
          <w:rFonts w:ascii="Arial" w:hAnsi="Arial"/>
        </w:rPr>
        <w:t xml:space="preserve">(1), 75–105. </w:t>
      </w:r>
      <w:hyperlink r:id="rId11" w:history="1">
        <w:r w:rsidRPr="003A0A87">
          <w:rPr>
            <w:rStyle w:val="Hyperlink"/>
            <w:rFonts w:ascii="Arial" w:hAnsi="Arial"/>
          </w:rPr>
          <w:t>https://doi.org/10.2307/25148625</w:t>
        </w:r>
      </w:hyperlink>
    </w:p>
    <w:p w14:paraId="72DA2DBD" w14:textId="77777777" w:rsidR="003A0A87" w:rsidRPr="003A0A87" w:rsidRDefault="003A0A87" w:rsidP="003A0A87">
      <w:pPr>
        <w:pStyle w:val="font-claude-response-body"/>
        <w:spacing w:line="276" w:lineRule="auto"/>
        <w:ind w:hanging="426"/>
        <w:rPr>
          <w:rFonts w:ascii="Arial" w:hAnsi="Arial"/>
        </w:rPr>
      </w:pPr>
    </w:p>
    <w:p w14:paraId="4453A8D1" w14:textId="77777777" w:rsidR="007E772E" w:rsidRDefault="007E772E" w:rsidP="007E772E">
      <w:pPr>
        <w:spacing w:before="0" w:after="0" w:line="276" w:lineRule="auto"/>
        <w:ind w:hanging="480"/>
        <w:contextualSpacing w:val="0"/>
        <w:rPr>
          <w:rFonts w:ascii="Times New Roman" w:hAnsi="Times New Roman" w:cs="Times New Roman"/>
          <w:sz w:val="24"/>
          <w:szCs w:val="24"/>
        </w:rPr>
      </w:pPr>
      <w:r>
        <w:t xml:space="preserve">Joshi, S. (2025). </w:t>
      </w:r>
      <w:proofErr w:type="spellStart"/>
      <w:r>
        <w:t>LLMOps</w:t>
      </w:r>
      <w:proofErr w:type="spellEnd"/>
      <w:r>
        <w:t xml:space="preserve">, </w:t>
      </w:r>
      <w:proofErr w:type="spellStart"/>
      <w:r>
        <w:t>AgentOps</w:t>
      </w:r>
      <w:proofErr w:type="spellEnd"/>
      <w:r>
        <w:t xml:space="preserve">, and </w:t>
      </w:r>
      <w:proofErr w:type="spellStart"/>
      <w:r>
        <w:t>MLOps</w:t>
      </w:r>
      <w:proofErr w:type="spellEnd"/>
      <w:r>
        <w:t xml:space="preserve"> </w:t>
      </w:r>
      <w:proofErr w:type="spellStart"/>
      <w:r>
        <w:t>for</w:t>
      </w:r>
      <w:proofErr w:type="spellEnd"/>
      <w:r>
        <w:t xml:space="preserve"> Generative AI: A </w:t>
      </w:r>
      <w:proofErr w:type="spellStart"/>
      <w:r>
        <w:t>Comprehensive</w:t>
      </w:r>
      <w:proofErr w:type="spellEnd"/>
      <w:r>
        <w:t xml:space="preserve"> Review. </w:t>
      </w:r>
      <w:r>
        <w:rPr>
          <w:i/>
          <w:iCs/>
        </w:rPr>
        <w:t xml:space="preserve">International Journal </w:t>
      </w:r>
      <w:proofErr w:type="spellStart"/>
      <w:r>
        <w:rPr>
          <w:i/>
          <w:iCs/>
        </w:rPr>
        <w:t>of</w:t>
      </w:r>
      <w:proofErr w:type="spellEnd"/>
      <w:r>
        <w:rPr>
          <w:i/>
          <w:iCs/>
        </w:rPr>
        <w:t xml:space="preserve"> Computer </w:t>
      </w:r>
      <w:proofErr w:type="spellStart"/>
      <w:r>
        <w:rPr>
          <w:i/>
          <w:iCs/>
        </w:rPr>
        <w:t>Applications</w:t>
      </w:r>
      <w:proofErr w:type="spellEnd"/>
      <w:r>
        <w:rPr>
          <w:i/>
          <w:iCs/>
        </w:rPr>
        <w:t xml:space="preserve"> Technology and Research</w:t>
      </w:r>
      <w:r>
        <w:t xml:space="preserve">. </w:t>
      </w:r>
      <w:hyperlink r:id="rId12" w:history="1">
        <w:r>
          <w:rPr>
            <w:rStyle w:val="Hyperlink"/>
            <w:rFonts w:eastAsiaTheme="majorEastAsia"/>
          </w:rPr>
          <w:t>https://doi.org/10.7753/IJCATR1407.1001</w:t>
        </w:r>
      </w:hyperlink>
    </w:p>
    <w:p w14:paraId="6BACF404" w14:textId="77777777" w:rsidR="003A0A87" w:rsidRPr="003A0A87" w:rsidRDefault="003A0A87" w:rsidP="007E772E">
      <w:pPr>
        <w:pStyle w:val="font-claude-response-body"/>
        <w:spacing w:line="276" w:lineRule="auto"/>
        <w:ind w:hanging="426"/>
        <w:rPr>
          <w:rFonts w:ascii="Arial" w:hAnsi="Arial"/>
        </w:rPr>
      </w:pPr>
    </w:p>
    <w:p w14:paraId="1B8F9986" w14:textId="77777777" w:rsidR="003A0A87" w:rsidRPr="003A0A87" w:rsidRDefault="003A0A87" w:rsidP="003A0A87">
      <w:pPr>
        <w:pStyle w:val="font-claude-response-body"/>
        <w:spacing w:line="276" w:lineRule="auto"/>
        <w:ind w:hanging="426"/>
        <w:rPr>
          <w:rFonts w:ascii="Arial" w:hAnsi="Arial"/>
        </w:rPr>
      </w:pPr>
      <w:r w:rsidRPr="003A0A87">
        <w:rPr>
          <w:rFonts w:ascii="Arial" w:hAnsi="Arial"/>
        </w:rPr>
        <w:t xml:space="preserve">Kreuzberger, D., Kühl, N., &amp; Hirschl, S. (2023). </w:t>
      </w:r>
      <w:proofErr w:type="spellStart"/>
      <w:r w:rsidRPr="003A0A87">
        <w:rPr>
          <w:rFonts w:ascii="Arial" w:hAnsi="Arial"/>
        </w:rPr>
        <w:t>Machine</w:t>
      </w:r>
      <w:proofErr w:type="spellEnd"/>
      <w:r w:rsidRPr="003A0A87">
        <w:rPr>
          <w:rFonts w:ascii="Arial" w:hAnsi="Arial"/>
        </w:rPr>
        <w:t xml:space="preserve"> Learning </w:t>
      </w:r>
      <w:proofErr w:type="spellStart"/>
      <w:r w:rsidRPr="003A0A87">
        <w:rPr>
          <w:rFonts w:ascii="Arial" w:hAnsi="Arial"/>
        </w:rPr>
        <w:t>Operations</w:t>
      </w:r>
      <w:proofErr w:type="spellEnd"/>
      <w:r w:rsidRPr="003A0A87">
        <w:rPr>
          <w:rFonts w:ascii="Arial" w:hAnsi="Arial"/>
        </w:rPr>
        <w:t xml:space="preserve"> (</w:t>
      </w:r>
      <w:proofErr w:type="spellStart"/>
      <w:r w:rsidRPr="003A0A87">
        <w:rPr>
          <w:rFonts w:ascii="Arial" w:hAnsi="Arial"/>
        </w:rPr>
        <w:t>MLOps</w:t>
      </w:r>
      <w:proofErr w:type="spellEnd"/>
      <w:r w:rsidRPr="003A0A87">
        <w:rPr>
          <w:rFonts w:ascii="Arial" w:hAnsi="Arial"/>
        </w:rPr>
        <w:t xml:space="preserve">): </w:t>
      </w:r>
      <w:proofErr w:type="spellStart"/>
      <w:r w:rsidRPr="003A0A87">
        <w:rPr>
          <w:rFonts w:ascii="Arial" w:hAnsi="Arial"/>
        </w:rPr>
        <w:t>Overview</w:t>
      </w:r>
      <w:proofErr w:type="spellEnd"/>
      <w:r w:rsidRPr="003A0A87">
        <w:rPr>
          <w:rFonts w:ascii="Arial" w:hAnsi="Arial"/>
        </w:rPr>
        <w:t xml:space="preserve">, Definition, and Architecture. </w:t>
      </w:r>
      <w:proofErr w:type="gramStart"/>
      <w:r w:rsidRPr="003A0A87">
        <w:rPr>
          <w:rStyle w:val="Hervorhebung"/>
          <w:rFonts w:ascii="Arial" w:hAnsi="Arial"/>
        </w:rPr>
        <w:t>IEEE Access</w:t>
      </w:r>
      <w:proofErr w:type="gramEnd"/>
      <w:r w:rsidRPr="003A0A87">
        <w:rPr>
          <w:rFonts w:ascii="Arial" w:hAnsi="Arial"/>
        </w:rPr>
        <w:t xml:space="preserve">, </w:t>
      </w:r>
      <w:r w:rsidRPr="003A0A87">
        <w:rPr>
          <w:rStyle w:val="Hervorhebung"/>
          <w:rFonts w:ascii="Arial" w:hAnsi="Arial"/>
        </w:rPr>
        <w:t>11</w:t>
      </w:r>
      <w:r w:rsidRPr="003A0A87">
        <w:rPr>
          <w:rFonts w:ascii="Arial" w:hAnsi="Arial"/>
        </w:rPr>
        <w:t xml:space="preserve">, 31866–31879. </w:t>
      </w:r>
      <w:hyperlink r:id="rId13" w:history="1">
        <w:r w:rsidRPr="003A0A87">
          <w:rPr>
            <w:rStyle w:val="Hyperlink"/>
            <w:rFonts w:ascii="Arial" w:hAnsi="Arial"/>
          </w:rPr>
          <w:t>https://doi.org/10.1109/ACCESS.2023.3262138</w:t>
        </w:r>
      </w:hyperlink>
    </w:p>
    <w:p w14:paraId="3A1E0ED1" w14:textId="77777777" w:rsidR="003A0A87" w:rsidRPr="003A0A87" w:rsidRDefault="003A0A87" w:rsidP="003A0A87">
      <w:pPr>
        <w:pStyle w:val="font-claude-response-body"/>
        <w:spacing w:line="276" w:lineRule="auto"/>
        <w:ind w:hanging="426"/>
        <w:rPr>
          <w:rFonts w:ascii="Arial" w:hAnsi="Arial"/>
        </w:rPr>
      </w:pPr>
    </w:p>
    <w:p w14:paraId="6F01707C" w14:textId="77777777" w:rsidR="003A0A87" w:rsidRPr="003A0A87" w:rsidRDefault="003A0A87" w:rsidP="003A0A87">
      <w:pPr>
        <w:pStyle w:val="font-claude-response-body"/>
        <w:spacing w:line="276" w:lineRule="auto"/>
        <w:ind w:hanging="426"/>
        <w:rPr>
          <w:rFonts w:ascii="Arial" w:hAnsi="Arial"/>
        </w:rPr>
      </w:pPr>
      <w:r w:rsidRPr="003A0A87">
        <w:rPr>
          <w:rFonts w:ascii="Arial" w:hAnsi="Arial"/>
        </w:rPr>
        <w:t xml:space="preserve">March, S. T., &amp; Smith, G. F. (1995). Design and </w:t>
      </w:r>
      <w:proofErr w:type="spellStart"/>
      <w:r w:rsidRPr="003A0A87">
        <w:rPr>
          <w:rFonts w:ascii="Arial" w:hAnsi="Arial"/>
        </w:rPr>
        <w:t>natural</w:t>
      </w:r>
      <w:proofErr w:type="spellEnd"/>
      <w:r w:rsidRPr="003A0A87">
        <w:rPr>
          <w:rFonts w:ascii="Arial" w:hAnsi="Arial"/>
        </w:rPr>
        <w:t xml:space="preserve"> </w:t>
      </w:r>
      <w:proofErr w:type="spellStart"/>
      <w:r w:rsidRPr="003A0A87">
        <w:rPr>
          <w:rFonts w:ascii="Arial" w:hAnsi="Arial"/>
        </w:rPr>
        <w:t>science</w:t>
      </w:r>
      <w:proofErr w:type="spellEnd"/>
      <w:r w:rsidRPr="003A0A87">
        <w:rPr>
          <w:rFonts w:ascii="Arial" w:hAnsi="Arial"/>
        </w:rPr>
        <w:t xml:space="preserve"> </w:t>
      </w:r>
      <w:proofErr w:type="spellStart"/>
      <w:r w:rsidRPr="003A0A87">
        <w:rPr>
          <w:rFonts w:ascii="Arial" w:hAnsi="Arial"/>
        </w:rPr>
        <w:t>research</w:t>
      </w:r>
      <w:proofErr w:type="spellEnd"/>
      <w:r w:rsidRPr="003A0A87">
        <w:rPr>
          <w:rFonts w:ascii="Arial" w:hAnsi="Arial"/>
        </w:rPr>
        <w:t xml:space="preserve"> on </w:t>
      </w:r>
      <w:proofErr w:type="spellStart"/>
      <w:r w:rsidRPr="003A0A87">
        <w:rPr>
          <w:rFonts w:ascii="Arial" w:hAnsi="Arial"/>
        </w:rPr>
        <w:t>information</w:t>
      </w:r>
      <w:proofErr w:type="spellEnd"/>
      <w:r w:rsidRPr="003A0A87">
        <w:rPr>
          <w:rFonts w:ascii="Arial" w:hAnsi="Arial"/>
        </w:rPr>
        <w:t xml:space="preserve"> </w:t>
      </w:r>
      <w:proofErr w:type="spellStart"/>
      <w:r w:rsidRPr="003A0A87">
        <w:rPr>
          <w:rFonts w:ascii="Arial" w:hAnsi="Arial"/>
        </w:rPr>
        <w:t>technology</w:t>
      </w:r>
      <w:proofErr w:type="spellEnd"/>
      <w:r w:rsidRPr="003A0A87">
        <w:rPr>
          <w:rFonts w:ascii="Arial" w:hAnsi="Arial"/>
        </w:rPr>
        <w:t xml:space="preserve">. </w:t>
      </w:r>
      <w:proofErr w:type="spellStart"/>
      <w:r w:rsidRPr="003A0A87">
        <w:rPr>
          <w:rStyle w:val="Hervorhebung"/>
          <w:rFonts w:ascii="Arial" w:hAnsi="Arial"/>
        </w:rPr>
        <w:t>Decision</w:t>
      </w:r>
      <w:proofErr w:type="spellEnd"/>
      <w:r w:rsidRPr="003A0A87">
        <w:rPr>
          <w:rStyle w:val="Hervorhebung"/>
          <w:rFonts w:ascii="Arial" w:hAnsi="Arial"/>
        </w:rPr>
        <w:t xml:space="preserve"> Support Systems</w:t>
      </w:r>
      <w:r w:rsidRPr="003A0A87">
        <w:rPr>
          <w:rFonts w:ascii="Arial" w:hAnsi="Arial"/>
        </w:rPr>
        <w:t xml:space="preserve">, </w:t>
      </w:r>
      <w:r w:rsidRPr="003A0A87">
        <w:rPr>
          <w:rStyle w:val="Hervorhebung"/>
          <w:rFonts w:ascii="Arial" w:hAnsi="Arial"/>
        </w:rPr>
        <w:t>15</w:t>
      </w:r>
      <w:r w:rsidRPr="003A0A87">
        <w:rPr>
          <w:rFonts w:ascii="Arial" w:hAnsi="Arial"/>
        </w:rPr>
        <w:t xml:space="preserve">(4), 251–266. </w:t>
      </w:r>
      <w:hyperlink r:id="rId14" w:history="1">
        <w:r w:rsidRPr="003A0A87">
          <w:rPr>
            <w:rStyle w:val="Hyperlink"/>
            <w:rFonts w:ascii="Arial" w:hAnsi="Arial"/>
          </w:rPr>
          <w:t>https://doi.org/10.1016/0167-9236(94)00041-2</w:t>
        </w:r>
      </w:hyperlink>
    </w:p>
    <w:p w14:paraId="4BEE74BB" w14:textId="77777777" w:rsidR="003A0A87" w:rsidRPr="003A0A87" w:rsidRDefault="003A0A87" w:rsidP="003A0A87">
      <w:pPr>
        <w:pStyle w:val="font-claude-response-body"/>
        <w:spacing w:line="276" w:lineRule="auto"/>
        <w:ind w:hanging="426"/>
        <w:rPr>
          <w:rFonts w:ascii="Arial" w:hAnsi="Arial"/>
        </w:rPr>
      </w:pPr>
    </w:p>
    <w:p w14:paraId="254537D7" w14:textId="1CA21CB2" w:rsidR="003A0A87" w:rsidRPr="003A0A87" w:rsidRDefault="003A0A87" w:rsidP="003A0A87">
      <w:pPr>
        <w:pStyle w:val="font-claude-response-body"/>
        <w:spacing w:line="276" w:lineRule="auto"/>
        <w:ind w:hanging="426"/>
        <w:rPr>
          <w:rFonts w:ascii="Arial" w:hAnsi="Arial"/>
        </w:rPr>
      </w:pPr>
      <w:proofErr w:type="spellStart"/>
      <w:r w:rsidRPr="003A0A87">
        <w:rPr>
          <w:rFonts w:ascii="Arial" w:hAnsi="Arial"/>
        </w:rPr>
        <w:t>Novelli</w:t>
      </w:r>
      <w:proofErr w:type="spellEnd"/>
      <w:r w:rsidRPr="003A0A87">
        <w:rPr>
          <w:rFonts w:ascii="Arial" w:hAnsi="Arial"/>
        </w:rPr>
        <w:t xml:space="preserve">, C., </w:t>
      </w:r>
      <w:proofErr w:type="spellStart"/>
      <w:r w:rsidRPr="003A0A87">
        <w:rPr>
          <w:rFonts w:ascii="Arial" w:hAnsi="Arial"/>
        </w:rPr>
        <w:t>Casolari</w:t>
      </w:r>
      <w:proofErr w:type="spellEnd"/>
      <w:r w:rsidRPr="003A0A87">
        <w:rPr>
          <w:rFonts w:ascii="Arial" w:hAnsi="Arial"/>
        </w:rPr>
        <w:t xml:space="preserve">, F., Hacker, P., </w:t>
      </w:r>
      <w:proofErr w:type="spellStart"/>
      <w:r w:rsidRPr="003A0A87">
        <w:rPr>
          <w:rFonts w:ascii="Arial" w:hAnsi="Arial"/>
        </w:rPr>
        <w:t>Spedicato</w:t>
      </w:r>
      <w:proofErr w:type="spellEnd"/>
      <w:r w:rsidRPr="003A0A87">
        <w:rPr>
          <w:rFonts w:ascii="Arial" w:hAnsi="Arial"/>
        </w:rPr>
        <w:t xml:space="preserve">, G., &amp; </w:t>
      </w:r>
      <w:proofErr w:type="spellStart"/>
      <w:r w:rsidRPr="003A0A87">
        <w:rPr>
          <w:rFonts w:ascii="Arial" w:hAnsi="Arial"/>
        </w:rPr>
        <w:t>Floridi</w:t>
      </w:r>
      <w:proofErr w:type="spellEnd"/>
      <w:r w:rsidRPr="003A0A87">
        <w:rPr>
          <w:rFonts w:ascii="Arial" w:hAnsi="Arial"/>
        </w:rPr>
        <w:t xml:space="preserve">, L. (2024). Generative AI in EU </w:t>
      </w:r>
      <w:proofErr w:type="spellStart"/>
      <w:r w:rsidRPr="003A0A87">
        <w:rPr>
          <w:rFonts w:ascii="Arial" w:hAnsi="Arial"/>
        </w:rPr>
        <w:t>law</w:t>
      </w:r>
      <w:proofErr w:type="spellEnd"/>
      <w:r w:rsidRPr="003A0A87">
        <w:rPr>
          <w:rFonts w:ascii="Arial" w:hAnsi="Arial"/>
        </w:rPr>
        <w:t xml:space="preserve">: </w:t>
      </w:r>
      <w:proofErr w:type="spellStart"/>
      <w:r w:rsidRPr="003A0A87">
        <w:rPr>
          <w:rFonts w:ascii="Arial" w:hAnsi="Arial"/>
        </w:rPr>
        <w:t>Liability</w:t>
      </w:r>
      <w:proofErr w:type="spellEnd"/>
      <w:r w:rsidRPr="003A0A87">
        <w:rPr>
          <w:rFonts w:ascii="Arial" w:hAnsi="Arial"/>
        </w:rPr>
        <w:t xml:space="preserve">, </w:t>
      </w:r>
      <w:proofErr w:type="spellStart"/>
      <w:r w:rsidRPr="003A0A87">
        <w:rPr>
          <w:rFonts w:ascii="Arial" w:hAnsi="Arial"/>
        </w:rPr>
        <w:t>privacy</w:t>
      </w:r>
      <w:proofErr w:type="spellEnd"/>
      <w:r w:rsidRPr="003A0A87">
        <w:rPr>
          <w:rFonts w:ascii="Arial" w:hAnsi="Arial"/>
        </w:rPr>
        <w:t xml:space="preserve">, </w:t>
      </w:r>
      <w:proofErr w:type="spellStart"/>
      <w:r w:rsidRPr="003A0A87">
        <w:rPr>
          <w:rFonts w:ascii="Arial" w:hAnsi="Arial"/>
        </w:rPr>
        <w:t>intellectual</w:t>
      </w:r>
      <w:proofErr w:type="spellEnd"/>
      <w:r w:rsidRPr="003A0A87">
        <w:rPr>
          <w:rFonts w:ascii="Arial" w:hAnsi="Arial"/>
        </w:rPr>
        <w:t xml:space="preserve"> </w:t>
      </w:r>
      <w:proofErr w:type="spellStart"/>
      <w:r w:rsidRPr="003A0A87">
        <w:rPr>
          <w:rFonts w:ascii="Arial" w:hAnsi="Arial"/>
        </w:rPr>
        <w:t>property</w:t>
      </w:r>
      <w:proofErr w:type="spellEnd"/>
      <w:r w:rsidRPr="003A0A87">
        <w:rPr>
          <w:rFonts w:ascii="Arial" w:hAnsi="Arial"/>
        </w:rPr>
        <w:t xml:space="preserve">, and </w:t>
      </w:r>
      <w:proofErr w:type="spellStart"/>
      <w:r w:rsidRPr="003A0A87">
        <w:rPr>
          <w:rFonts w:ascii="Arial" w:hAnsi="Arial"/>
        </w:rPr>
        <w:t>cybersecurity</w:t>
      </w:r>
      <w:proofErr w:type="spellEnd"/>
      <w:r w:rsidRPr="003A0A87">
        <w:rPr>
          <w:rFonts w:ascii="Arial" w:hAnsi="Arial"/>
        </w:rPr>
        <w:t xml:space="preserve">. </w:t>
      </w:r>
      <w:r w:rsidRPr="003A0A87">
        <w:rPr>
          <w:rStyle w:val="Hervorhebung"/>
          <w:rFonts w:ascii="Arial" w:hAnsi="Arial"/>
        </w:rPr>
        <w:t>Computer Law &amp; Security Review</w:t>
      </w:r>
      <w:r w:rsidRPr="003A0A87">
        <w:rPr>
          <w:rFonts w:ascii="Arial" w:hAnsi="Arial"/>
        </w:rPr>
        <w:t xml:space="preserve">, </w:t>
      </w:r>
      <w:r w:rsidRPr="003A0A87">
        <w:rPr>
          <w:rStyle w:val="Hervorhebung"/>
          <w:rFonts w:ascii="Arial" w:hAnsi="Arial"/>
        </w:rPr>
        <w:t>55</w:t>
      </w:r>
      <w:r w:rsidRPr="003A0A87">
        <w:rPr>
          <w:rFonts w:ascii="Arial" w:hAnsi="Arial"/>
        </w:rPr>
        <w:t xml:space="preserve">, 106066. </w:t>
      </w:r>
      <w:hyperlink r:id="rId15" w:history="1">
        <w:r w:rsidRPr="003A0A87">
          <w:rPr>
            <w:rStyle w:val="Hyperlink"/>
            <w:rFonts w:ascii="Arial" w:hAnsi="Arial"/>
          </w:rPr>
          <w:t>https://doi.org/10.1016/j.clsr.2024.106066</w:t>
        </w:r>
      </w:hyperlink>
    </w:p>
    <w:p w14:paraId="3E2609AF" w14:textId="77777777" w:rsidR="003A0A87" w:rsidRPr="003A0A87" w:rsidRDefault="003A0A87" w:rsidP="003A0A87">
      <w:pPr>
        <w:pStyle w:val="font-claude-response-body"/>
        <w:spacing w:line="276" w:lineRule="auto"/>
        <w:ind w:hanging="426"/>
        <w:rPr>
          <w:rFonts w:ascii="Arial" w:hAnsi="Arial"/>
        </w:rPr>
      </w:pPr>
    </w:p>
    <w:p w14:paraId="4C5F40BF" w14:textId="77777777" w:rsidR="00EE7574" w:rsidRDefault="00EE7574" w:rsidP="00EE7574">
      <w:pPr>
        <w:spacing w:before="0" w:after="0" w:line="276" w:lineRule="auto"/>
        <w:ind w:hanging="480"/>
        <w:contextualSpacing w:val="0"/>
        <w:rPr>
          <w:rFonts w:ascii="Times New Roman" w:hAnsi="Times New Roman" w:cs="Times New Roman"/>
          <w:sz w:val="24"/>
          <w:szCs w:val="24"/>
        </w:rPr>
      </w:pPr>
      <w:proofErr w:type="spellStart"/>
      <w:r>
        <w:t>Pahune</w:t>
      </w:r>
      <w:proofErr w:type="spellEnd"/>
      <w:r>
        <w:t xml:space="preserve">, S., &amp; Akhtar, Z. (2025). </w:t>
      </w:r>
      <w:proofErr w:type="spellStart"/>
      <w:r>
        <w:t>Transitioning</w:t>
      </w:r>
      <w:proofErr w:type="spellEnd"/>
      <w:r>
        <w:t xml:space="preserve"> </w:t>
      </w:r>
      <w:proofErr w:type="spellStart"/>
      <w:r>
        <w:t>from</w:t>
      </w:r>
      <w:proofErr w:type="spellEnd"/>
      <w:r>
        <w:t xml:space="preserve"> </w:t>
      </w:r>
      <w:proofErr w:type="spellStart"/>
      <w:r>
        <w:t>MLOps</w:t>
      </w:r>
      <w:proofErr w:type="spellEnd"/>
      <w:r>
        <w:t xml:space="preserve"> </w:t>
      </w:r>
      <w:proofErr w:type="spellStart"/>
      <w:r>
        <w:t>to</w:t>
      </w:r>
      <w:proofErr w:type="spellEnd"/>
      <w:r>
        <w:t xml:space="preserve"> </w:t>
      </w:r>
      <w:proofErr w:type="spellStart"/>
      <w:r>
        <w:t>LLMOps</w:t>
      </w:r>
      <w:proofErr w:type="spellEnd"/>
      <w:r>
        <w:t xml:space="preserve">: </w:t>
      </w:r>
      <w:proofErr w:type="spellStart"/>
      <w:r>
        <w:t>Navigating</w:t>
      </w:r>
      <w:proofErr w:type="spellEnd"/>
      <w:r>
        <w:t xml:space="preserve"> </w:t>
      </w:r>
      <w:proofErr w:type="spellStart"/>
      <w:r>
        <w:t>the</w:t>
      </w:r>
      <w:proofErr w:type="spellEnd"/>
      <w:r>
        <w:t xml:space="preserve"> Unique Challenges </w:t>
      </w:r>
      <w:proofErr w:type="spellStart"/>
      <w:r>
        <w:t>of</w:t>
      </w:r>
      <w:proofErr w:type="spellEnd"/>
      <w:r>
        <w:t xml:space="preserve"> Large Language Models. </w:t>
      </w:r>
      <w:r>
        <w:rPr>
          <w:i/>
          <w:iCs/>
        </w:rPr>
        <w:t>Information</w:t>
      </w:r>
      <w:r>
        <w:t xml:space="preserve">, </w:t>
      </w:r>
      <w:r>
        <w:rPr>
          <w:i/>
          <w:iCs/>
        </w:rPr>
        <w:t>16</w:t>
      </w:r>
      <w:r>
        <w:t xml:space="preserve">(2), 87. </w:t>
      </w:r>
      <w:hyperlink r:id="rId16" w:history="1">
        <w:r>
          <w:rPr>
            <w:rStyle w:val="Hyperlink"/>
            <w:rFonts w:eastAsiaTheme="majorEastAsia"/>
          </w:rPr>
          <w:t>https://doi.org/10.3390/info16020087</w:t>
        </w:r>
      </w:hyperlink>
    </w:p>
    <w:p w14:paraId="59BFED6A" w14:textId="77777777" w:rsidR="003A0A87" w:rsidRPr="003A0A87" w:rsidRDefault="003A0A87" w:rsidP="003A0A87">
      <w:pPr>
        <w:pStyle w:val="font-claude-response-body"/>
        <w:spacing w:line="276" w:lineRule="auto"/>
        <w:ind w:hanging="426"/>
        <w:rPr>
          <w:rFonts w:ascii="Arial" w:hAnsi="Arial"/>
        </w:rPr>
      </w:pPr>
    </w:p>
    <w:p w14:paraId="0CDC21B3" w14:textId="77777777" w:rsidR="003A0A87" w:rsidRDefault="003A0A87" w:rsidP="003A0A87">
      <w:pPr>
        <w:pStyle w:val="font-claude-response-body"/>
        <w:spacing w:line="276" w:lineRule="auto"/>
        <w:ind w:hanging="426"/>
        <w:rPr>
          <w:rFonts w:ascii="Arial" w:hAnsi="Arial"/>
        </w:rPr>
      </w:pPr>
      <w:proofErr w:type="spellStart"/>
      <w:r w:rsidRPr="003A0A87">
        <w:rPr>
          <w:rFonts w:ascii="Arial" w:hAnsi="Arial"/>
        </w:rPr>
        <w:t>Peffers</w:t>
      </w:r>
      <w:proofErr w:type="spellEnd"/>
      <w:r w:rsidRPr="003A0A87">
        <w:rPr>
          <w:rFonts w:ascii="Arial" w:hAnsi="Arial"/>
        </w:rPr>
        <w:t xml:space="preserve">, K., </w:t>
      </w:r>
      <w:proofErr w:type="spellStart"/>
      <w:r w:rsidRPr="003A0A87">
        <w:rPr>
          <w:rFonts w:ascii="Arial" w:hAnsi="Arial"/>
        </w:rPr>
        <w:t>Tuunanen</w:t>
      </w:r>
      <w:proofErr w:type="spellEnd"/>
      <w:r w:rsidRPr="003A0A87">
        <w:rPr>
          <w:rFonts w:ascii="Arial" w:hAnsi="Arial"/>
        </w:rPr>
        <w:t xml:space="preserve">, T., Rothenberger, M. A., &amp; Chatterjee, S. (2007). A design </w:t>
      </w:r>
      <w:proofErr w:type="spellStart"/>
      <w:r w:rsidRPr="003A0A87">
        <w:rPr>
          <w:rFonts w:ascii="Arial" w:hAnsi="Arial"/>
        </w:rPr>
        <w:t>science</w:t>
      </w:r>
      <w:proofErr w:type="spellEnd"/>
      <w:r w:rsidRPr="003A0A87">
        <w:rPr>
          <w:rFonts w:ascii="Arial" w:hAnsi="Arial"/>
        </w:rPr>
        <w:t xml:space="preserve"> </w:t>
      </w:r>
      <w:proofErr w:type="spellStart"/>
      <w:r w:rsidRPr="003A0A87">
        <w:rPr>
          <w:rFonts w:ascii="Arial" w:hAnsi="Arial"/>
        </w:rPr>
        <w:t>research</w:t>
      </w:r>
      <w:proofErr w:type="spellEnd"/>
      <w:r w:rsidRPr="003A0A87">
        <w:rPr>
          <w:rFonts w:ascii="Arial" w:hAnsi="Arial"/>
        </w:rPr>
        <w:t xml:space="preserve"> </w:t>
      </w:r>
      <w:proofErr w:type="spellStart"/>
      <w:r w:rsidRPr="003A0A87">
        <w:rPr>
          <w:rFonts w:ascii="Arial" w:hAnsi="Arial"/>
        </w:rPr>
        <w:t>methodology</w:t>
      </w:r>
      <w:proofErr w:type="spellEnd"/>
      <w:r w:rsidRPr="003A0A87">
        <w:rPr>
          <w:rFonts w:ascii="Arial" w:hAnsi="Arial"/>
        </w:rPr>
        <w:t xml:space="preserve"> </w:t>
      </w:r>
      <w:proofErr w:type="spellStart"/>
      <w:r w:rsidRPr="003A0A87">
        <w:rPr>
          <w:rFonts w:ascii="Arial" w:hAnsi="Arial"/>
        </w:rPr>
        <w:t>for</w:t>
      </w:r>
      <w:proofErr w:type="spellEnd"/>
      <w:r w:rsidRPr="003A0A87">
        <w:rPr>
          <w:rFonts w:ascii="Arial" w:hAnsi="Arial"/>
        </w:rPr>
        <w:t xml:space="preserve"> </w:t>
      </w:r>
      <w:proofErr w:type="spellStart"/>
      <w:r w:rsidRPr="003A0A87">
        <w:rPr>
          <w:rFonts w:ascii="Arial" w:hAnsi="Arial"/>
        </w:rPr>
        <w:t>information</w:t>
      </w:r>
      <w:proofErr w:type="spellEnd"/>
      <w:r w:rsidRPr="003A0A87">
        <w:rPr>
          <w:rFonts w:ascii="Arial" w:hAnsi="Arial"/>
        </w:rPr>
        <w:t xml:space="preserve"> </w:t>
      </w:r>
      <w:proofErr w:type="spellStart"/>
      <w:r w:rsidRPr="003A0A87">
        <w:rPr>
          <w:rFonts w:ascii="Arial" w:hAnsi="Arial"/>
        </w:rPr>
        <w:t>systems</w:t>
      </w:r>
      <w:proofErr w:type="spellEnd"/>
      <w:r w:rsidRPr="003A0A87">
        <w:rPr>
          <w:rFonts w:ascii="Arial" w:hAnsi="Arial"/>
        </w:rPr>
        <w:t xml:space="preserve"> </w:t>
      </w:r>
      <w:proofErr w:type="spellStart"/>
      <w:r w:rsidRPr="003A0A87">
        <w:rPr>
          <w:rFonts w:ascii="Arial" w:hAnsi="Arial"/>
        </w:rPr>
        <w:t>research</w:t>
      </w:r>
      <w:proofErr w:type="spellEnd"/>
      <w:r w:rsidRPr="003A0A87">
        <w:rPr>
          <w:rFonts w:ascii="Arial" w:hAnsi="Arial"/>
        </w:rPr>
        <w:t xml:space="preserve">. </w:t>
      </w:r>
      <w:r w:rsidRPr="003A0A87">
        <w:rPr>
          <w:rStyle w:val="Hervorhebung"/>
          <w:rFonts w:ascii="Arial" w:hAnsi="Arial"/>
        </w:rPr>
        <w:t xml:space="preserve">Journal </w:t>
      </w:r>
      <w:proofErr w:type="spellStart"/>
      <w:r w:rsidRPr="003A0A87">
        <w:rPr>
          <w:rStyle w:val="Hervorhebung"/>
          <w:rFonts w:ascii="Arial" w:hAnsi="Arial"/>
        </w:rPr>
        <w:t>of</w:t>
      </w:r>
      <w:proofErr w:type="spellEnd"/>
      <w:r w:rsidRPr="003A0A87">
        <w:rPr>
          <w:rStyle w:val="Hervorhebung"/>
          <w:rFonts w:ascii="Arial" w:hAnsi="Arial"/>
        </w:rPr>
        <w:t xml:space="preserve"> Management Information Systems</w:t>
      </w:r>
      <w:r w:rsidRPr="003A0A87">
        <w:rPr>
          <w:rFonts w:ascii="Arial" w:hAnsi="Arial"/>
        </w:rPr>
        <w:t xml:space="preserve">, </w:t>
      </w:r>
      <w:r w:rsidRPr="003A0A87">
        <w:rPr>
          <w:rStyle w:val="Hervorhebung"/>
          <w:rFonts w:ascii="Arial" w:hAnsi="Arial"/>
        </w:rPr>
        <w:t>24</w:t>
      </w:r>
      <w:r w:rsidRPr="003A0A87">
        <w:rPr>
          <w:rFonts w:ascii="Arial" w:hAnsi="Arial"/>
        </w:rPr>
        <w:t xml:space="preserve">(3), 45–77. </w:t>
      </w:r>
      <w:hyperlink r:id="rId17" w:history="1">
        <w:r w:rsidRPr="003A0A87">
          <w:rPr>
            <w:rStyle w:val="Hyperlink"/>
            <w:rFonts w:ascii="Arial" w:hAnsi="Arial"/>
          </w:rPr>
          <w:t>https://doi.org/10.2753/MIS0742-1222240302</w:t>
        </w:r>
      </w:hyperlink>
    </w:p>
    <w:p w14:paraId="5EDCC7FE" w14:textId="77777777" w:rsidR="00851EA1" w:rsidRPr="003A0A87" w:rsidRDefault="00851EA1" w:rsidP="003A0A87">
      <w:pPr>
        <w:pStyle w:val="font-claude-response-body"/>
        <w:spacing w:line="276" w:lineRule="auto"/>
        <w:ind w:hanging="426"/>
        <w:rPr>
          <w:rFonts w:ascii="Arial" w:hAnsi="Arial"/>
        </w:rPr>
      </w:pPr>
    </w:p>
    <w:p w14:paraId="7405818D" w14:textId="0E1DC410" w:rsidR="003A0A87" w:rsidRPr="003A0A87" w:rsidRDefault="003A0A87" w:rsidP="007E772E">
      <w:pPr>
        <w:spacing w:before="120" w:after="120" w:line="276" w:lineRule="auto"/>
        <w:ind w:hanging="480"/>
      </w:pPr>
      <w:proofErr w:type="spellStart"/>
      <w:r w:rsidRPr="003A0A87">
        <w:lastRenderedPageBreak/>
        <w:t>Polyakovska</w:t>
      </w:r>
      <w:proofErr w:type="spellEnd"/>
      <w:r w:rsidRPr="003A0A87">
        <w:t xml:space="preserve">, K. (2025). </w:t>
      </w:r>
      <w:proofErr w:type="spellStart"/>
      <w:r w:rsidRPr="003A0A87">
        <w:t>LLMOps</w:t>
      </w:r>
      <w:proofErr w:type="spellEnd"/>
      <w:r w:rsidRPr="003A0A87">
        <w:t xml:space="preserve">: </w:t>
      </w:r>
      <w:proofErr w:type="spellStart"/>
      <w:r w:rsidRPr="003A0A87">
        <w:t>Adapting</w:t>
      </w:r>
      <w:proofErr w:type="spellEnd"/>
      <w:r w:rsidRPr="003A0A87">
        <w:t xml:space="preserve"> </w:t>
      </w:r>
      <w:proofErr w:type="spellStart"/>
      <w:r w:rsidRPr="003A0A87">
        <w:t>MLOps</w:t>
      </w:r>
      <w:proofErr w:type="spellEnd"/>
      <w:r w:rsidRPr="003A0A87">
        <w:t xml:space="preserve"> </w:t>
      </w:r>
      <w:proofErr w:type="spellStart"/>
      <w:r w:rsidRPr="003A0A87">
        <w:t>Strategies</w:t>
      </w:r>
      <w:proofErr w:type="spellEnd"/>
      <w:r w:rsidRPr="003A0A87">
        <w:t xml:space="preserve"> </w:t>
      </w:r>
      <w:proofErr w:type="spellStart"/>
      <w:r w:rsidRPr="003A0A87">
        <w:t>for</w:t>
      </w:r>
      <w:proofErr w:type="spellEnd"/>
      <w:r w:rsidRPr="003A0A87">
        <w:t xml:space="preserve"> Large Language Model Lifecycle Management. </w:t>
      </w:r>
      <w:proofErr w:type="spellStart"/>
      <w:r w:rsidRPr="003A0A87">
        <w:rPr>
          <w:rStyle w:val="Hervorhebung"/>
        </w:rPr>
        <w:t>arXiv</w:t>
      </w:r>
      <w:proofErr w:type="spellEnd"/>
      <w:r w:rsidRPr="003A0A87">
        <w:rPr>
          <w:rStyle w:val="Hervorhebung"/>
        </w:rPr>
        <w:t xml:space="preserve"> </w:t>
      </w:r>
      <w:proofErr w:type="spellStart"/>
      <w:r w:rsidRPr="003A0A87">
        <w:rPr>
          <w:rStyle w:val="Hervorhebung"/>
        </w:rPr>
        <w:t>preprint</w:t>
      </w:r>
      <w:proofErr w:type="spellEnd"/>
      <w:r w:rsidRPr="003A0A87">
        <w:t xml:space="preserve">, </w:t>
      </w:r>
      <w:hyperlink r:id="rId18" w:history="1">
        <w:r w:rsidR="00851EA1">
          <w:rPr>
            <w:rStyle w:val="Hyperlink"/>
            <w:rFonts w:eastAsiaTheme="majorEastAsia"/>
          </w:rPr>
          <w:t>https://doi.org/10.36910/6775-2524-0560-2025-58-14</w:t>
        </w:r>
      </w:hyperlink>
    </w:p>
    <w:p w14:paraId="3889418F" w14:textId="77777777" w:rsidR="003A0A87" w:rsidRPr="003A0A87" w:rsidRDefault="003A0A87" w:rsidP="003A0A87">
      <w:pPr>
        <w:pStyle w:val="font-claude-response-body"/>
        <w:spacing w:line="276" w:lineRule="auto"/>
        <w:ind w:hanging="426"/>
        <w:rPr>
          <w:rFonts w:ascii="Arial" w:hAnsi="Arial"/>
        </w:rPr>
      </w:pPr>
    </w:p>
    <w:p w14:paraId="124800E7" w14:textId="77777777" w:rsidR="003A0A87" w:rsidRPr="003A0A87" w:rsidRDefault="003A0A87" w:rsidP="003A0A87">
      <w:pPr>
        <w:pStyle w:val="font-claude-response-body"/>
        <w:spacing w:line="276" w:lineRule="auto"/>
        <w:ind w:hanging="426"/>
        <w:rPr>
          <w:rFonts w:ascii="Arial" w:hAnsi="Arial"/>
        </w:rPr>
      </w:pPr>
      <w:r w:rsidRPr="003A0A87">
        <w:rPr>
          <w:rFonts w:ascii="Arial" w:hAnsi="Arial"/>
        </w:rPr>
        <w:t xml:space="preserve">Sinan, M., Shahin, M., &amp; </w:t>
      </w:r>
      <w:proofErr w:type="spellStart"/>
      <w:r w:rsidRPr="003A0A87">
        <w:rPr>
          <w:rFonts w:ascii="Arial" w:hAnsi="Arial"/>
        </w:rPr>
        <w:t>Gondal</w:t>
      </w:r>
      <w:proofErr w:type="spellEnd"/>
      <w:r w:rsidRPr="003A0A87">
        <w:rPr>
          <w:rFonts w:ascii="Arial" w:hAnsi="Arial"/>
        </w:rPr>
        <w:t xml:space="preserve">, I. (2025). </w:t>
      </w:r>
      <w:proofErr w:type="spellStart"/>
      <w:r w:rsidRPr="003A0A87">
        <w:rPr>
          <w:rFonts w:ascii="Arial" w:hAnsi="Arial"/>
        </w:rPr>
        <w:t>Integrating</w:t>
      </w:r>
      <w:proofErr w:type="spellEnd"/>
      <w:r w:rsidRPr="003A0A87">
        <w:rPr>
          <w:rFonts w:ascii="Arial" w:hAnsi="Arial"/>
        </w:rPr>
        <w:t xml:space="preserve"> Security Controls in </w:t>
      </w:r>
      <w:proofErr w:type="spellStart"/>
      <w:r w:rsidRPr="003A0A87">
        <w:rPr>
          <w:rFonts w:ascii="Arial" w:hAnsi="Arial"/>
        </w:rPr>
        <w:t>DevSecOps</w:t>
      </w:r>
      <w:proofErr w:type="spellEnd"/>
      <w:r w:rsidRPr="003A0A87">
        <w:rPr>
          <w:rFonts w:ascii="Arial" w:hAnsi="Arial"/>
        </w:rPr>
        <w:t xml:space="preserve">: Challenges, Solutions, and Future Research </w:t>
      </w:r>
      <w:proofErr w:type="spellStart"/>
      <w:r w:rsidRPr="003A0A87">
        <w:rPr>
          <w:rFonts w:ascii="Arial" w:hAnsi="Arial"/>
        </w:rPr>
        <w:t>Directions</w:t>
      </w:r>
      <w:proofErr w:type="spellEnd"/>
      <w:r w:rsidRPr="003A0A87">
        <w:rPr>
          <w:rFonts w:ascii="Arial" w:hAnsi="Arial"/>
        </w:rPr>
        <w:t xml:space="preserve">. </w:t>
      </w:r>
      <w:r w:rsidRPr="003A0A87">
        <w:rPr>
          <w:rStyle w:val="Hervorhebung"/>
          <w:rFonts w:ascii="Arial" w:hAnsi="Arial"/>
        </w:rPr>
        <w:t xml:space="preserve">Journal </w:t>
      </w:r>
      <w:proofErr w:type="spellStart"/>
      <w:r w:rsidRPr="003A0A87">
        <w:rPr>
          <w:rStyle w:val="Hervorhebung"/>
          <w:rFonts w:ascii="Arial" w:hAnsi="Arial"/>
        </w:rPr>
        <w:t>of</w:t>
      </w:r>
      <w:proofErr w:type="spellEnd"/>
      <w:r w:rsidRPr="003A0A87">
        <w:rPr>
          <w:rStyle w:val="Hervorhebung"/>
          <w:rFonts w:ascii="Arial" w:hAnsi="Arial"/>
        </w:rPr>
        <w:t xml:space="preserve"> Software: Evolution and </w:t>
      </w:r>
      <w:proofErr w:type="spellStart"/>
      <w:r w:rsidRPr="003A0A87">
        <w:rPr>
          <w:rStyle w:val="Hervorhebung"/>
          <w:rFonts w:ascii="Arial" w:hAnsi="Arial"/>
        </w:rPr>
        <w:t>Process</w:t>
      </w:r>
      <w:proofErr w:type="spellEnd"/>
      <w:r w:rsidRPr="003A0A87">
        <w:rPr>
          <w:rFonts w:ascii="Arial" w:hAnsi="Arial"/>
        </w:rPr>
        <w:t xml:space="preserve">, </w:t>
      </w:r>
      <w:r w:rsidRPr="003A0A87">
        <w:rPr>
          <w:rStyle w:val="Hervorhebung"/>
          <w:rFonts w:ascii="Arial" w:hAnsi="Arial"/>
        </w:rPr>
        <w:t>37</w:t>
      </w:r>
      <w:r w:rsidRPr="003A0A87">
        <w:rPr>
          <w:rFonts w:ascii="Arial" w:hAnsi="Arial"/>
        </w:rPr>
        <w:t xml:space="preserve">, e70029. </w:t>
      </w:r>
      <w:hyperlink r:id="rId19" w:history="1">
        <w:r w:rsidRPr="003A0A87">
          <w:rPr>
            <w:rStyle w:val="Hyperlink"/>
            <w:rFonts w:ascii="Arial" w:hAnsi="Arial"/>
          </w:rPr>
          <w:t>https://doi.org/10.1002/smr.70029</w:t>
        </w:r>
      </w:hyperlink>
    </w:p>
    <w:p w14:paraId="46347C2F" w14:textId="77777777" w:rsidR="003A0A87" w:rsidRPr="003A0A87" w:rsidRDefault="003A0A87" w:rsidP="003A0A87">
      <w:pPr>
        <w:pStyle w:val="font-claude-response-body"/>
        <w:spacing w:line="276" w:lineRule="auto"/>
        <w:ind w:hanging="426"/>
        <w:rPr>
          <w:rFonts w:ascii="Arial" w:hAnsi="Arial"/>
        </w:rPr>
      </w:pPr>
    </w:p>
    <w:p w14:paraId="6F574900" w14:textId="70ACD9B8" w:rsidR="003A0A87" w:rsidRDefault="003A0A87" w:rsidP="003A0A87">
      <w:pPr>
        <w:pStyle w:val="font-claude-response-body"/>
        <w:spacing w:line="276" w:lineRule="auto"/>
        <w:ind w:hanging="426"/>
        <w:rPr>
          <w:rFonts w:ascii="Arial" w:hAnsi="Arial"/>
        </w:rPr>
      </w:pPr>
      <w:r w:rsidRPr="003A0A87">
        <w:rPr>
          <w:rFonts w:ascii="Arial" w:hAnsi="Arial"/>
        </w:rPr>
        <w:t xml:space="preserve">Sinha, A., Arora, A., &amp; Gupta, A. (2024). Building AI </w:t>
      </w:r>
      <w:proofErr w:type="spellStart"/>
      <w:r w:rsidRPr="003A0A87">
        <w:rPr>
          <w:rFonts w:ascii="Arial" w:hAnsi="Arial"/>
        </w:rPr>
        <w:t>Agents</w:t>
      </w:r>
      <w:proofErr w:type="spellEnd"/>
      <w:r w:rsidRPr="003A0A87">
        <w:rPr>
          <w:rFonts w:ascii="Arial" w:hAnsi="Arial"/>
        </w:rPr>
        <w:t xml:space="preserve">: Challenges in LLM </w:t>
      </w:r>
      <w:proofErr w:type="spellStart"/>
      <w:r w:rsidRPr="003A0A87">
        <w:rPr>
          <w:rFonts w:ascii="Arial" w:hAnsi="Arial"/>
        </w:rPr>
        <w:t>Productionization</w:t>
      </w:r>
      <w:proofErr w:type="spellEnd"/>
      <w:r w:rsidR="0008429C">
        <w:rPr>
          <w:rFonts w:ascii="Arial" w:hAnsi="Arial"/>
        </w:rPr>
        <w:t xml:space="preserve">. </w:t>
      </w:r>
      <w:hyperlink r:id="rId20" w:history="1">
        <w:r w:rsidR="0008429C" w:rsidRPr="00396B04">
          <w:rPr>
            <w:rStyle w:val="Hyperlink"/>
            <w:rFonts w:ascii="Arial" w:hAnsi="Arial"/>
          </w:rPr>
          <w:t>https://doi.org/10.15223/policy-029</w:t>
        </w:r>
      </w:hyperlink>
    </w:p>
    <w:p w14:paraId="45E98ADD" w14:textId="77777777" w:rsidR="003A0A87" w:rsidRPr="003A0A87" w:rsidRDefault="003A0A87" w:rsidP="0008429C">
      <w:pPr>
        <w:pStyle w:val="font-claude-response-body"/>
        <w:spacing w:line="276" w:lineRule="auto"/>
        <w:rPr>
          <w:rFonts w:ascii="Arial" w:hAnsi="Arial"/>
        </w:rPr>
      </w:pPr>
    </w:p>
    <w:p w14:paraId="02986FDA" w14:textId="16B66E1C" w:rsidR="003A0A87" w:rsidRPr="003A0A87" w:rsidRDefault="003A0A87" w:rsidP="003A0A87">
      <w:pPr>
        <w:pStyle w:val="font-claude-response-body"/>
        <w:spacing w:line="276" w:lineRule="auto"/>
        <w:ind w:hanging="426"/>
        <w:rPr>
          <w:rFonts w:ascii="Arial" w:hAnsi="Arial"/>
        </w:rPr>
      </w:pPr>
      <w:proofErr w:type="spellStart"/>
      <w:r w:rsidRPr="003A0A87">
        <w:rPr>
          <w:rFonts w:ascii="Arial" w:hAnsi="Arial"/>
        </w:rPr>
        <w:t>Sovrano</w:t>
      </w:r>
      <w:proofErr w:type="spellEnd"/>
      <w:r w:rsidRPr="003A0A87">
        <w:rPr>
          <w:rFonts w:ascii="Arial" w:hAnsi="Arial"/>
        </w:rPr>
        <w:t xml:space="preserve">, F., Hine, E., </w:t>
      </w:r>
      <w:proofErr w:type="spellStart"/>
      <w:r w:rsidRPr="003A0A87">
        <w:rPr>
          <w:rFonts w:ascii="Arial" w:hAnsi="Arial"/>
        </w:rPr>
        <w:t>Anzolut</w:t>
      </w:r>
      <w:proofErr w:type="spellEnd"/>
      <w:r w:rsidRPr="003A0A87">
        <w:rPr>
          <w:rFonts w:ascii="Arial" w:hAnsi="Arial"/>
        </w:rPr>
        <w:t xml:space="preserve">, S., &amp; </w:t>
      </w:r>
      <w:proofErr w:type="spellStart"/>
      <w:r w:rsidRPr="003A0A87">
        <w:rPr>
          <w:rFonts w:ascii="Arial" w:hAnsi="Arial"/>
        </w:rPr>
        <w:t>Bacchelli</w:t>
      </w:r>
      <w:proofErr w:type="spellEnd"/>
      <w:r w:rsidRPr="003A0A87">
        <w:rPr>
          <w:rFonts w:ascii="Arial" w:hAnsi="Arial"/>
        </w:rPr>
        <w:t xml:space="preserve">, A. (2025). </w:t>
      </w:r>
      <w:proofErr w:type="spellStart"/>
      <w:r w:rsidRPr="003A0A87">
        <w:rPr>
          <w:rFonts w:ascii="Arial" w:hAnsi="Arial"/>
        </w:rPr>
        <w:t>Simplifying</w:t>
      </w:r>
      <w:proofErr w:type="spellEnd"/>
      <w:r w:rsidRPr="003A0A87">
        <w:rPr>
          <w:rFonts w:ascii="Arial" w:hAnsi="Arial"/>
        </w:rPr>
        <w:t xml:space="preserve"> </w:t>
      </w:r>
      <w:proofErr w:type="spellStart"/>
      <w:r w:rsidRPr="003A0A87">
        <w:rPr>
          <w:rFonts w:ascii="Arial" w:hAnsi="Arial"/>
        </w:rPr>
        <w:t>software</w:t>
      </w:r>
      <w:proofErr w:type="spellEnd"/>
      <w:r w:rsidRPr="003A0A87">
        <w:rPr>
          <w:rFonts w:ascii="Arial" w:hAnsi="Arial"/>
        </w:rPr>
        <w:t xml:space="preserve"> </w:t>
      </w:r>
      <w:proofErr w:type="spellStart"/>
      <w:r w:rsidRPr="003A0A87">
        <w:rPr>
          <w:rFonts w:ascii="Arial" w:hAnsi="Arial"/>
        </w:rPr>
        <w:t>compliance</w:t>
      </w:r>
      <w:proofErr w:type="spellEnd"/>
      <w:r w:rsidRPr="003A0A87">
        <w:rPr>
          <w:rFonts w:ascii="Arial" w:hAnsi="Arial"/>
        </w:rPr>
        <w:t xml:space="preserve">: AI </w:t>
      </w:r>
      <w:proofErr w:type="spellStart"/>
      <w:r w:rsidRPr="003A0A87">
        <w:rPr>
          <w:rFonts w:ascii="Arial" w:hAnsi="Arial"/>
        </w:rPr>
        <w:t>technologies</w:t>
      </w:r>
      <w:proofErr w:type="spellEnd"/>
      <w:r w:rsidRPr="003A0A87">
        <w:rPr>
          <w:rFonts w:ascii="Arial" w:hAnsi="Arial"/>
        </w:rPr>
        <w:t xml:space="preserve"> in </w:t>
      </w:r>
      <w:proofErr w:type="spellStart"/>
      <w:r w:rsidRPr="003A0A87">
        <w:rPr>
          <w:rFonts w:ascii="Arial" w:hAnsi="Arial"/>
        </w:rPr>
        <w:t>drafting</w:t>
      </w:r>
      <w:proofErr w:type="spellEnd"/>
      <w:r w:rsidRPr="003A0A87">
        <w:rPr>
          <w:rFonts w:ascii="Arial" w:hAnsi="Arial"/>
        </w:rPr>
        <w:t xml:space="preserve"> </w:t>
      </w:r>
      <w:proofErr w:type="spellStart"/>
      <w:r w:rsidRPr="003A0A87">
        <w:rPr>
          <w:rFonts w:ascii="Arial" w:hAnsi="Arial"/>
        </w:rPr>
        <w:t>technical</w:t>
      </w:r>
      <w:proofErr w:type="spellEnd"/>
      <w:r w:rsidRPr="003A0A87">
        <w:rPr>
          <w:rFonts w:ascii="Arial" w:hAnsi="Arial"/>
        </w:rPr>
        <w:t xml:space="preserve"> </w:t>
      </w:r>
      <w:proofErr w:type="spellStart"/>
      <w:r w:rsidRPr="003A0A87">
        <w:rPr>
          <w:rFonts w:ascii="Arial" w:hAnsi="Arial"/>
        </w:rPr>
        <w:t>documentation</w:t>
      </w:r>
      <w:proofErr w:type="spellEnd"/>
      <w:r w:rsidRPr="003A0A87">
        <w:rPr>
          <w:rFonts w:ascii="Arial" w:hAnsi="Arial"/>
        </w:rPr>
        <w:t xml:space="preserve"> </w:t>
      </w:r>
      <w:proofErr w:type="spellStart"/>
      <w:r w:rsidRPr="003A0A87">
        <w:rPr>
          <w:rFonts w:ascii="Arial" w:hAnsi="Arial"/>
        </w:rPr>
        <w:t>for</w:t>
      </w:r>
      <w:proofErr w:type="spellEnd"/>
      <w:r w:rsidRPr="003A0A87">
        <w:rPr>
          <w:rFonts w:ascii="Arial" w:hAnsi="Arial"/>
        </w:rPr>
        <w:t xml:space="preserve"> </w:t>
      </w:r>
      <w:proofErr w:type="spellStart"/>
      <w:r w:rsidRPr="003A0A87">
        <w:rPr>
          <w:rFonts w:ascii="Arial" w:hAnsi="Arial"/>
        </w:rPr>
        <w:t>the</w:t>
      </w:r>
      <w:proofErr w:type="spellEnd"/>
      <w:r w:rsidRPr="003A0A87">
        <w:rPr>
          <w:rFonts w:ascii="Arial" w:hAnsi="Arial"/>
        </w:rPr>
        <w:t xml:space="preserve"> </w:t>
      </w:r>
      <w:proofErr w:type="gramStart"/>
      <w:r w:rsidRPr="003A0A87">
        <w:rPr>
          <w:rFonts w:ascii="Arial" w:hAnsi="Arial"/>
        </w:rPr>
        <w:t>AI Act</w:t>
      </w:r>
      <w:proofErr w:type="gramEnd"/>
      <w:r w:rsidRPr="003A0A87">
        <w:rPr>
          <w:rFonts w:ascii="Arial" w:hAnsi="Arial"/>
        </w:rPr>
        <w:t xml:space="preserve">. </w:t>
      </w:r>
      <w:proofErr w:type="spellStart"/>
      <w:r w:rsidRPr="003A0A87">
        <w:rPr>
          <w:rStyle w:val="Hervorhebung"/>
          <w:rFonts w:ascii="Arial" w:hAnsi="Arial"/>
        </w:rPr>
        <w:t>Empirical</w:t>
      </w:r>
      <w:proofErr w:type="spellEnd"/>
      <w:r w:rsidRPr="003A0A87">
        <w:rPr>
          <w:rStyle w:val="Hervorhebung"/>
          <w:rFonts w:ascii="Arial" w:hAnsi="Arial"/>
        </w:rPr>
        <w:t xml:space="preserve"> Software Engineering</w:t>
      </w:r>
      <w:r w:rsidRPr="003A0A87">
        <w:rPr>
          <w:rFonts w:ascii="Arial" w:hAnsi="Arial"/>
        </w:rPr>
        <w:t xml:space="preserve">, </w:t>
      </w:r>
      <w:r w:rsidRPr="003A0A87">
        <w:rPr>
          <w:rStyle w:val="Hervorhebung"/>
          <w:rFonts w:ascii="Arial" w:hAnsi="Arial"/>
        </w:rPr>
        <w:t>30</w:t>
      </w:r>
      <w:r w:rsidRPr="003A0A87">
        <w:rPr>
          <w:rFonts w:ascii="Arial" w:hAnsi="Arial"/>
        </w:rPr>
        <w:t xml:space="preserve">, 91. </w:t>
      </w:r>
      <w:hyperlink r:id="rId21" w:history="1">
        <w:r w:rsidRPr="003A0A87">
          <w:rPr>
            <w:rStyle w:val="Hyperlink"/>
            <w:rFonts w:ascii="Arial" w:hAnsi="Arial"/>
          </w:rPr>
          <w:t>https://doi.org/</w:t>
        </w:r>
        <w:r w:rsidR="0008429C" w:rsidRPr="0008429C">
          <w:rPr>
            <w:rStyle w:val="Hyperlink"/>
            <w:rFonts w:ascii="Arial" w:hAnsi="Arial"/>
          </w:rPr>
          <w:t>10.1109/ICECET61485.2024.10698359</w:t>
        </w:r>
      </w:hyperlink>
    </w:p>
    <w:p w14:paraId="13442A42" w14:textId="77777777" w:rsidR="003A0A87" w:rsidRPr="003A0A87" w:rsidRDefault="003A0A87" w:rsidP="00497CFF">
      <w:pPr>
        <w:pStyle w:val="font-claude-response-body"/>
        <w:spacing w:line="276" w:lineRule="auto"/>
        <w:ind w:hanging="426"/>
        <w:rPr>
          <w:rFonts w:ascii="Arial" w:hAnsi="Arial"/>
        </w:rPr>
      </w:pPr>
    </w:p>
    <w:p w14:paraId="00F2D04E" w14:textId="77777777" w:rsidR="00497CFF" w:rsidRDefault="00497CFF" w:rsidP="00497CFF">
      <w:pPr>
        <w:spacing w:before="0" w:after="0" w:line="276" w:lineRule="auto"/>
        <w:ind w:hanging="480"/>
        <w:contextualSpacing w:val="0"/>
      </w:pPr>
      <w:r>
        <w:t xml:space="preserve">Stone, J., Patel, R., </w:t>
      </w:r>
      <w:proofErr w:type="spellStart"/>
      <w:r>
        <w:t>Ghiasi</w:t>
      </w:r>
      <w:proofErr w:type="spellEnd"/>
      <w:r>
        <w:t xml:space="preserve">, F., Mittal, S., &amp; Rahimi, S. (2025). </w:t>
      </w:r>
      <w:proofErr w:type="spellStart"/>
      <w:r>
        <w:t>Navigating</w:t>
      </w:r>
      <w:proofErr w:type="spellEnd"/>
      <w:r>
        <w:t xml:space="preserve"> </w:t>
      </w:r>
      <w:proofErr w:type="spellStart"/>
      <w:r>
        <w:t>MLOps</w:t>
      </w:r>
      <w:proofErr w:type="spellEnd"/>
      <w:r>
        <w:t xml:space="preserve">: </w:t>
      </w:r>
      <w:proofErr w:type="spellStart"/>
      <w:r>
        <w:t>Insights</w:t>
      </w:r>
      <w:proofErr w:type="spellEnd"/>
      <w:r>
        <w:t xml:space="preserve"> </w:t>
      </w:r>
      <w:proofErr w:type="spellStart"/>
      <w:r>
        <w:t>into</w:t>
      </w:r>
      <w:proofErr w:type="spellEnd"/>
      <w:r>
        <w:t xml:space="preserve"> </w:t>
      </w:r>
      <w:proofErr w:type="spellStart"/>
      <w:r>
        <w:t>Maturity</w:t>
      </w:r>
      <w:proofErr w:type="spellEnd"/>
      <w:r>
        <w:t xml:space="preserve">, Lifecycle, Tools, and </w:t>
      </w:r>
      <w:proofErr w:type="spellStart"/>
      <w:r>
        <w:t>Careers</w:t>
      </w:r>
      <w:proofErr w:type="spellEnd"/>
      <w:r>
        <w:t xml:space="preserve">. </w:t>
      </w:r>
      <w:r>
        <w:rPr>
          <w:i/>
          <w:iCs/>
        </w:rPr>
        <w:t xml:space="preserve">2025 IEEE Conference on </w:t>
      </w:r>
      <w:proofErr w:type="spellStart"/>
      <w:r>
        <w:rPr>
          <w:i/>
          <w:iCs/>
        </w:rPr>
        <w:t>Artificial</w:t>
      </w:r>
      <w:proofErr w:type="spellEnd"/>
      <w:r>
        <w:rPr>
          <w:i/>
          <w:iCs/>
        </w:rPr>
        <w:t xml:space="preserve"> Intelligence (CAI)</w:t>
      </w:r>
      <w:r>
        <w:t xml:space="preserve">, 643–650. </w:t>
      </w:r>
      <w:hyperlink r:id="rId22" w:history="1">
        <w:r>
          <w:rPr>
            <w:rStyle w:val="Hyperlink"/>
            <w:rFonts w:eastAsiaTheme="majorEastAsia"/>
          </w:rPr>
          <w:t>https://doi.org/10.1109/CAI64502.2025.00118</w:t>
        </w:r>
      </w:hyperlink>
    </w:p>
    <w:p w14:paraId="68D2DBBD" w14:textId="77777777" w:rsidR="00497CFF" w:rsidRDefault="00497CFF" w:rsidP="00497CFF">
      <w:pPr>
        <w:spacing w:before="0" w:after="0" w:line="276" w:lineRule="auto"/>
        <w:ind w:hanging="480"/>
        <w:contextualSpacing w:val="0"/>
        <w:rPr>
          <w:rFonts w:ascii="Times New Roman" w:hAnsi="Times New Roman" w:cs="Times New Roman"/>
          <w:sz w:val="24"/>
          <w:szCs w:val="24"/>
        </w:rPr>
      </w:pPr>
    </w:p>
    <w:p w14:paraId="1B54A3DE" w14:textId="77777777" w:rsidR="003A0A87" w:rsidRPr="003A0A87" w:rsidRDefault="003A0A87" w:rsidP="003A0A87">
      <w:pPr>
        <w:pStyle w:val="font-claude-response-body"/>
        <w:spacing w:line="276" w:lineRule="auto"/>
        <w:ind w:hanging="426"/>
        <w:rPr>
          <w:rFonts w:ascii="Arial" w:hAnsi="Arial"/>
        </w:rPr>
      </w:pPr>
      <w:proofErr w:type="spellStart"/>
      <w:r w:rsidRPr="003A0A87">
        <w:rPr>
          <w:rFonts w:ascii="Arial" w:hAnsi="Arial"/>
        </w:rPr>
        <w:t>Taeihagh</w:t>
      </w:r>
      <w:proofErr w:type="spellEnd"/>
      <w:r w:rsidRPr="003A0A87">
        <w:rPr>
          <w:rFonts w:ascii="Arial" w:hAnsi="Arial"/>
        </w:rPr>
        <w:t xml:space="preserve">, A. (2025). </w:t>
      </w:r>
      <w:proofErr w:type="spellStart"/>
      <w:r w:rsidRPr="003A0A87">
        <w:rPr>
          <w:rFonts w:ascii="Arial" w:hAnsi="Arial"/>
        </w:rPr>
        <w:t>Governance</w:t>
      </w:r>
      <w:proofErr w:type="spellEnd"/>
      <w:r w:rsidRPr="003A0A87">
        <w:rPr>
          <w:rFonts w:ascii="Arial" w:hAnsi="Arial"/>
        </w:rPr>
        <w:t xml:space="preserve"> </w:t>
      </w:r>
      <w:proofErr w:type="spellStart"/>
      <w:r w:rsidRPr="003A0A87">
        <w:rPr>
          <w:rFonts w:ascii="Arial" w:hAnsi="Arial"/>
        </w:rPr>
        <w:t>of</w:t>
      </w:r>
      <w:proofErr w:type="spellEnd"/>
      <w:r w:rsidRPr="003A0A87">
        <w:rPr>
          <w:rFonts w:ascii="Arial" w:hAnsi="Arial"/>
        </w:rPr>
        <w:t xml:space="preserve"> Generative AI. </w:t>
      </w:r>
      <w:r w:rsidRPr="003A0A87">
        <w:rPr>
          <w:rStyle w:val="Hervorhebung"/>
          <w:rFonts w:ascii="Arial" w:hAnsi="Arial"/>
        </w:rPr>
        <w:t>Policy and Society</w:t>
      </w:r>
      <w:r w:rsidRPr="003A0A87">
        <w:rPr>
          <w:rFonts w:ascii="Arial" w:hAnsi="Arial"/>
        </w:rPr>
        <w:t xml:space="preserve">, </w:t>
      </w:r>
      <w:r w:rsidRPr="003A0A87">
        <w:rPr>
          <w:rStyle w:val="Hervorhebung"/>
          <w:rFonts w:ascii="Arial" w:hAnsi="Arial"/>
        </w:rPr>
        <w:t>44</w:t>
      </w:r>
      <w:r w:rsidRPr="003A0A87">
        <w:rPr>
          <w:rFonts w:ascii="Arial" w:hAnsi="Arial"/>
        </w:rPr>
        <w:t xml:space="preserve">(1), 1–22. </w:t>
      </w:r>
      <w:hyperlink r:id="rId23" w:history="1">
        <w:r w:rsidRPr="003A0A87">
          <w:rPr>
            <w:rStyle w:val="Hyperlink"/>
            <w:rFonts w:ascii="Arial" w:hAnsi="Arial"/>
          </w:rPr>
          <w:t>https://doi.org/10.1093/polsoc/puaf001</w:t>
        </w:r>
      </w:hyperlink>
    </w:p>
    <w:p w14:paraId="151BF623" w14:textId="77777777" w:rsidR="003A0A87" w:rsidRPr="003A0A87" w:rsidRDefault="003A0A87" w:rsidP="003A0A87">
      <w:pPr>
        <w:pStyle w:val="font-claude-response-body"/>
        <w:spacing w:line="276" w:lineRule="auto"/>
        <w:ind w:hanging="426"/>
        <w:rPr>
          <w:rFonts w:ascii="Arial" w:hAnsi="Arial"/>
        </w:rPr>
      </w:pPr>
    </w:p>
    <w:p w14:paraId="33356DAF" w14:textId="77777777" w:rsidR="005173CD" w:rsidRDefault="005173CD" w:rsidP="005173CD">
      <w:pPr>
        <w:spacing w:before="0" w:after="0" w:line="276" w:lineRule="auto"/>
        <w:ind w:hanging="480"/>
        <w:contextualSpacing w:val="0"/>
        <w:rPr>
          <w:rFonts w:ascii="Times New Roman" w:hAnsi="Times New Roman" w:cs="Times New Roman"/>
          <w:sz w:val="24"/>
          <w:szCs w:val="24"/>
        </w:rPr>
      </w:pPr>
      <w:proofErr w:type="spellStart"/>
      <w:r>
        <w:t>Tantithamthavorn</w:t>
      </w:r>
      <w:proofErr w:type="spellEnd"/>
      <w:r>
        <w:t xml:space="preserve">, C. K., </w:t>
      </w:r>
      <w:proofErr w:type="spellStart"/>
      <w:r>
        <w:t>Palomba</w:t>
      </w:r>
      <w:proofErr w:type="spellEnd"/>
      <w:r>
        <w:t xml:space="preserve">, F., </w:t>
      </w:r>
      <w:proofErr w:type="spellStart"/>
      <w:r>
        <w:t>Khomh</w:t>
      </w:r>
      <w:proofErr w:type="spellEnd"/>
      <w:r>
        <w:t xml:space="preserve">, F., &amp; Chua, J. J. (2025). </w:t>
      </w:r>
      <w:proofErr w:type="spellStart"/>
      <w:r>
        <w:t>MLOps</w:t>
      </w:r>
      <w:proofErr w:type="spellEnd"/>
      <w:r>
        <w:t xml:space="preserve">, </w:t>
      </w:r>
      <w:proofErr w:type="spellStart"/>
      <w:r>
        <w:t>LLMOps</w:t>
      </w:r>
      <w:proofErr w:type="spellEnd"/>
      <w:r>
        <w:t xml:space="preserve">, </w:t>
      </w:r>
      <w:proofErr w:type="spellStart"/>
      <w:r>
        <w:t>FMOps</w:t>
      </w:r>
      <w:proofErr w:type="spellEnd"/>
      <w:r>
        <w:t xml:space="preserve">, and </w:t>
      </w:r>
      <w:proofErr w:type="spellStart"/>
      <w:r>
        <w:t>Beyond</w:t>
      </w:r>
      <w:proofErr w:type="spellEnd"/>
      <w:r>
        <w:t xml:space="preserve">. </w:t>
      </w:r>
      <w:proofErr w:type="gramStart"/>
      <w:r>
        <w:rPr>
          <w:i/>
          <w:iCs/>
        </w:rPr>
        <w:t>IEEE Software</w:t>
      </w:r>
      <w:proofErr w:type="gramEnd"/>
      <w:r>
        <w:t xml:space="preserve">, </w:t>
      </w:r>
      <w:r>
        <w:rPr>
          <w:i/>
          <w:iCs/>
        </w:rPr>
        <w:t>42</w:t>
      </w:r>
      <w:r>
        <w:t xml:space="preserve">(1), 26–32. </w:t>
      </w:r>
      <w:hyperlink r:id="rId24" w:history="1">
        <w:r>
          <w:rPr>
            <w:rStyle w:val="Hyperlink"/>
            <w:rFonts w:eastAsiaTheme="majorEastAsia"/>
          </w:rPr>
          <w:t>https://doi.org/10.1109/MS.2024.3477014</w:t>
        </w:r>
      </w:hyperlink>
    </w:p>
    <w:p w14:paraId="24D96042" w14:textId="77777777" w:rsidR="003A0A87" w:rsidRPr="003A0A87" w:rsidRDefault="003A0A87" w:rsidP="003A0A87">
      <w:pPr>
        <w:pStyle w:val="font-claude-response-body"/>
        <w:spacing w:line="276" w:lineRule="auto"/>
        <w:ind w:hanging="426"/>
        <w:rPr>
          <w:rFonts w:ascii="Arial" w:hAnsi="Arial"/>
        </w:rPr>
      </w:pPr>
    </w:p>
    <w:p w14:paraId="5F53AE48" w14:textId="22D6C892" w:rsidR="003A0A87" w:rsidRPr="003A0A87" w:rsidRDefault="003A0A87" w:rsidP="003A0A87">
      <w:pPr>
        <w:pStyle w:val="font-claude-response-body"/>
        <w:spacing w:line="276" w:lineRule="auto"/>
        <w:ind w:hanging="426"/>
        <w:rPr>
          <w:rFonts w:ascii="Arial" w:hAnsi="Arial"/>
        </w:rPr>
      </w:pPr>
      <w:r w:rsidRPr="003A0A87">
        <w:rPr>
          <w:rFonts w:ascii="Arial" w:hAnsi="Arial"/>
        </w:rPr>
        <w:t xml:space="preserve">vom Brocke, J., &amp; </w:t>
      </w:r>
      <w:proofErr w:type="spellStart"/>
      <w:r w:rsidRPr="003A0A87">
        <w:rPr>
          <w:rFonts w:ascii="Arial" w:hAnsi="Arial"/>
        </w:rPr>
        <w:t>Maedche</w:t>
      </w:r>
      <w:proofErr w:type="spellEnd"/>
      <w:r w:rsidRPr="003A0A87">
        <w:rPr>
          <w:rFonts w:ascii="Arial" w:hAnsi="Arial"/>
        </w:rPr>
        <w:t xml:space="preserve">, A. (2019). The DSR </w:t>
      </w:r>
      <w:proofErr w:type="spellStart"/>
      <w:r w:rsidRPr="003A0A87">
        <w:rPr>
          <w:rFonts w:ascii="Arial" w:hAnsi="Arial"/>
        </w:rPr>
        <w:t>grid</w:t>
      </w:r>
      <w:proofErr w:type="spellEnd"/>
      <w:r w:rsidRPr="003A0A87">
        <w:rPr>
          <w:rFonts w:ascii="Arial" w:hAnsi="Arial"/>
        </w:rPr>
        <w:t xml:space="preserve">: Six </w:t>
      </w:r>
      <w:proofErr w:type="spellStart"/>
      <w:r w:rsidRPr="003A0A87">
        <w:rPr>
          <w:rFonts w:ascii="Arial" w:hAnsi="Arial"/>
        </w:rPr>
        <w:t>core</w:t>
      </w:r>
      <w:proofErr w:type="spellEnd"/>
      <w:r w:rsidRPr="003A0A87">
        <w:rPr>
          <w:rFonts w:ascii="Arial" w:hAnsi="Arial"/>
        </w:rPr>
        <w:t xml:space="preserve"> </w:t>
      </w:r>
      <w:proofErr w:type="spellStart"/>
      <w:r w:rsidRPr="003A0A87">
        <w:rPr>
          <w:rFonts w:ascii="Arial" w:hAnsi="Arial"/>
        </w:rPr>
        <w:t>dimensions</w:t>
      </w:r>
      <w:proofErr w:type="spellEnd"/>
      <w:r w:rsidRPr="003A0A87">
        <w:rPr>
          <w:rFonts w:ascii="Arial" w:hAnsi="Arial"/>
        </w:rPr>
        <w:t xml:space="preserve"> </w:t>
      </w:r>
      <w:proofErr w:type="spellStart"/>
      <w:r w:rsidRPr="003A0A87">
        <w:rPr>
          <w:rFonts w:ascii="Arial" w:hAnsi="Arial"/>
        </w:rPr>
        <w:t>for</w:t>
      </w:r>
      <w:proofErr w:type="spellEnd"/>
      <w:r w:rsidRPr="003A0A87">
        <w:rPr>
          <w:rFonts w:ascii="Arial" w:hAnsi="Arial"/>
        </w:rPr>
        <w:t xml:space="preserve"> </w:t>
      </w:r>
      <w:proofErr w:type="spellStart"/>
      <w:r w:rsidRPr="003A0A87">
        <w:rPr>
          <w:rFonts w:ascii="Arial" w:hAnsi="Arial"/>
        </w:rPr>
        <w:t>effectively</w:t>
      </w:r>
      <w:proofErr w:type="spellEnd"/>
      <w:r w:rsidRPr="003A0A87">
        <w:rPr>
          <w:rFonts w:ascii="Arial" w:hAnsi="Arial"/>
        </w:rPr>
        <w:t xml:space="preserve"> </w:t>
      </w:r>
      <w:proofErr w:type="spellStart"/>
      <w:r w:rsidRPr="003A0A87">
        <w:rPr>
          <w:rFonts w:ascii="Arial" w:hAnsi="Arial"/>
        </w:rPr>
        <w:t>planning</w:t>
      </w:r>
      <w:proofErr w:type="spellEnd"/>
      <w:r w:rsidRPr="003A0A87">
        <w:rPr>
          <w:rFonts w:ascii="Arial" w:hAnsi="Arial"/>
        </w:rPr>
        <w:t xml:space="preserve"> and </w:t>
      </w:r>
      <w:proofErr w:type="spellStart"/>
      <w:r w:rsidRPr="003A0A87">
        <w:rPr>
          <w:rFonts w:ascii="Arial" w:hAnsi="Arial"/>
        </w:rPr>
        <w:t>communicating</w:t>
      </w:r>
      <w:proofErr w:type="spellEnd"/>
      <w:r w:rsidRPr="003A0A87">
        <w:rPr>
          <w:rFonts w:ascii="Arial" w:hAnsi="Arial"/>
        </w:rPr>
        <w:t xml:space="preserve"> design </w:t>
      </w:r>
      <w:proofErr w:type="spellStart"/>
      <w:r w:rsidRPr="003A0A87">
        <w:rPr>
          <w:rFonts w:ascii="Arial" w:hAnsi="Arial"/>
        </w:rPr>
        <w:t>science</w:t>
      </w:r>
      <w:proofErr w:type="spellEnd"/>
      <w:r w:rsidRPr="003A0A87">
        <w:rPr>
          <w:rFonts w:ascii="Arial" w:hAnsi="Arial"/>
        </w:rPr>
        <w:t xml:space="preserve"> </w:t>
      </w:r>
      <w:proofErr w:type="spellStart"/>
      <w:r w:rsidRPr="003A0A87">
        <w:rPr>
          <w:rFonts w:ascii="Arial" w:hAnsi="Arial"/>
        </w:rPr>
        <w:t>research</w:t>
      </w:r>
      <w:proofErr w:type="spellEnd"/>
      <w:r w:rsidRPr="003A0A87">
        <w:rPr>
          <w:rFonts w:ascii="Arial" w:hAnsi="Arial"/>
        </w:rPr>
        <w:t xml:space="preserve"> </w:t>
      </w:r>
      <w:proofErr w:type="spellStart"/>
      <w:r w:rsidRPr="003A0A87">
        <w:rPr>
          <w:rFonts w:ascii="Arial" w:hAnsi="Arial"/>
        </w:rPr>
        <w:t>projects</w:t>
      </w:r>
      <w:proofErr w:type="spellEnd"/>
      <w:r w:rsidRPr="003A0A87">
        <w:rPr>
          <w:rFonts w:ascii="Arial" w:hAnsi="Arial"/>
        </w:rPr>
        <w:t xml:space="preserve">. </w:t>
      </w:r>
      <w:r w:rsidRPr="003A0A87">
        <w:rPr>
          <w:rStyle w:val="Hervorhebung"/>
          <w:rFonts w:ascii="Arial" w:hAnsi="Arial"/>
        </w:rPr>
        <w:t xml:space="preserve">Electronic </w:t>
      </w:r>
      <w:proofErr w:type="spellStart"/>
      <w:r w:rsidRPr="003A0A87">
        <w:rPr>
          <w:rStyle w:val="Hervorhebung"/>
          <w:rFonts w:ascii="Arial" w:hAnsi="Arial"/>
        </w:rPr>
        <w:t>Markets</w:t>
      </w:r>
      <w:proofErr w:type="spellEnd"/>
      <w:r w:rsidRPr="003A0A87">
        <w:rPr>
          <w:rFonts w:ascii="Arial" w:hAnsi="Arial"/>
        </w:rPr>
        <w:t xml:space="preserve">, </w:t>
      </w:r>
      <w:r w:rsidRPr="003A0A87">
        <w:rPr>
          <w:rStyle w:val="Hervorhebung"/>
          <w:rFonts w:ascii="Arial" w:hAnsi="Arial"/>
        </w:rPr>
        <w:t>29</w:t>
      </w:r>
      <w:r w:rsidRPr="003A0A87">
        <w:rPr>
          <w:rFonts w:ascii="Arial" w:hAnsi="Arial"/>
        </w:rPr>
        <w:t xml:space="preserve">(3), 379–385. </w:t>
      </w:r>
      <w:hyperlink r:id="rId25" w:history="1">
        <w:r w:rsidRPr="003A0A87">
          <w:rPr>
            <w:rStyle w:val="Hyperlink"/>
            <w:rFonts w:ascii="Arial" w:hAnsi="Arial"/>
          </w:rPr>
          <w:t>https://doi.org/10.1007/s12525-019-00358-7</w:t>
        </w:r>
      </w:hyperlink>
    </w:p>
    <w:p w14:paraId="59C1D25C" w14:textId="77777777" w:rsidR="003A0A87" w:rsidRPr="003A0A87" w:rsidRDefault="003A0A87" w:rsidP="003A0A87">
      <w:pPr>
        <w:pStyle w:val="font-claude-response-body"/>
        <w:spacing w:line="276" w:lineRule="auto"/>
        <w:ind w:hanging="426"/>
        <w:rPr>
          <w:rFonts w:ascii="Arial" w:hAnsi="Arial"/>
        </w:rPr>
      </w:pPr>
    </w:p>
    <w:p w14:paraId="2E68E030" w14:textId="77777777" w:rsidR="005173CD" w:rsidRDefault="005173CD" w:rsidP="005173CD">
      <w:pPr>
        <w:spacing w:before="0" w:after="0" w:line="276" w:lineRule="auto"/>
        <w:ind w:hanging="480"/>
        <w:contextualSpacing w:val="0"/>
        <w:rPr>
          <w:rFonts w:ascii="Times New Roman" w:hAnsi="Times New Roman" w:cs="Times New Roman"/>
          <w:sz w:val="24"/>
          <w:szCs w:val="24"/>
        </w:rPr>
      </w:pPr>
      <w:r>
        <w:t xml:space="preserve">Wang, K., Zhang, G., Zhou, Z., Wu, J., </w:t>
      </w:r>
      <w:proofErr w:type="spellStart"/>
      <w:r>
        <w:t>Yu</w:t>
      </w:r>
      <w:proofErr w:type="spellEnd"/>
      <w:r>
        <w:t xml:space="preserve">, M., Zhao, S., Yin, C., Fu, J., Yan, Y., Luo, H., Lin, L., </w:t>
      </w:r>
      <w:proofErr w:type="spellStart"/>
      <w:r>
        <w:t>Xu</w:t>
      </w:r>
      <w:proofErr w:type="spellEnd"/>
      <w:r>
        <w:t xml:space="preserve">, Z., Lu, H., Cao, X., Zhou, X., Jin, W., Meng, F., </w:t>
      </w:r>
      <w:proofErr w:type="spellStart"/>
      <w:r>
        <w:t>Xu</w:t>
      </w:r>
      <w:proofErr w:type="spellEnd"/>
      <w:r>
        <w:t xml:space="preserve">, S., Mao, J., … Liu, Y. (2025). </w:t>
      </w:r>
      <w:r>
        <w:rPr>
          <w:i/>
          <w:iCs/>
        </w:rPr>
        <w:t xml:space="preserve">A </w:t>
      </w:r>
      <w:proofErr w:type="spellStart"/>
      <w:r>
        <w:rPr>
          <w:i/>
          <w:iCs/>
        </w:rPr>
        <w:t>Comprehensive</w:t>
      </w:r>
      <w:proofErr w:type="spellEnd"/>
      <w:r>
        <w:rPr>
          <w:i/>
          <w:iCs/>
        </w:rPr>
        <w:t xml:space="preserve"> Survey in LLM(-Agent) </w:t>
      </w:r>
      <w:proofErr w:type="spellStart"/>
      <w:r>
        <w:rPr>
          <w:i/>
          <w:iCs/>
        </w:rPr>
        <w:t>Full</w:t>
      </w:r>
      <w:proofErr w:type="spellEnd"/>
      <w:r>
        <w:rPr>
          <w:i/>
          <w:iCs/>
        </w:rPr>
        <w:t xml:space="preserve"> Stack </w:t>
      </w:r>
      <w:proofErr w:type="spellStart"/>
      <w:r>
        <w:rPr>
          <w:i/>
          <w:iCs/>
        </w:rPr>
        <w:t>Safety</w:t>
      </w:r>
      <w:proofErr w:type="spellEnd"/>
      <w:r>
        <w:rPr>
          <w:i/>
          <w:iCs/>
        </w:rPr>
        <w:t xml:space="preserve">: Data, Training and </w:t>
      </w:r>
      <w:proofErr w:type="spellStart"/>
      <w:r>
        <w:rPr>
          <w:i/>
          <w:iCs/>
        </w:rPr>
        <w:t>Deployment</w:t>
      </w:r>
      <w:proofErr w:type="spellEnd"/>
      <w:r>
        <w:t xml:space="preserve"> (Version 4). </w:t>
      </w:r>
      <w:proofErr w:type="spellStart"/>
      <w:r>
        <w:t>arXiv</w:t>
      </w:r>
      <w:proofErr w:type="spellEnd"/>
      <w:r>
        <w:t xml:space="preserve">. </w:t>
      </w:r>
      <w:hyperlink r:id="rId26" w:history="1">
        <w:r>
          <w:rPr>
            <w:rStyle w:val="Hyperlink"/>
            <w:rFonts w:eastAsiaTheme="majorEastAsia"/>
          </w:rPr>
          <w:t>https://doi.org/10.48550/ARXIV.2504.15585</w:t>
        </w:r>
      </w:hyperlink>
    </w:p>
    <w:p w14:paraId="29391D7A" w14:textId="77777777" w:rsidR="003A0A87" w:rsidRPr="003A0A87" w:rsidRDefault="003A0A87" w:rsidP="003A0A87">
      <w:pPr>
        <w:pStyle w:val="font-claude-response-body"/>
        <w:spacing w:line="276" w:lineRule="auto"/>
        <w:ind w:hanging="426"/>
        <w:rPr>
          <w:rFonts w:ascii="Arial" w:hAnsi="Arial"/>
        </w:rPr>
      </w:pPr>
    </w:p>
    <w:p w14:paraId="450DD6A3" w14:textId="77777777" w:rsidR="00B37D3E" w:rsidRDefault="00B37D3E" w:rsidP="00B37D3E">
      <w:pPr>
        <w:spacing w:before="0" w:after="0" w:line="276" w:lineRule="auto"/>
        <w:ind w:hanging="480"/>
        <w:contextualSpacing w:val="0"/>
        <w:rPr>
          <w:rFonts w:ascii="Times New Roman" w:hAnsi="Times New Roman" w:cs="Times New Roman"/>
          <w:sz w:val="24"/>
          <w:szCs w:val="24"/>
        </w:rPr>
      </w:pPr>
      <w:proofErr w:type="spellStart"/>
      <w:r>
        <w:t>Xu</w:t>
      </w:r>
      <w:proofErr w:type="spellEnd"/>
      <w:r>
        <w:t xml:space="preserve">, X., </w:t>
      </w:r>
      <w:proofErr w:type="spellStart"/>
      <w:r>
        <w:t>Weytjens</w:t>
      </w:r>
      <w:proofErr w:type="spellEnd"/>
      <w:r>
        <w:t xml:space="preserve">, H., Zhang, D., Lu, Q., Weber, I., &amp; Zhu, L. (2025). </w:t>
      </w:r>
      <w:proofErr w:type="spellStart"/>
      <w:r>
        <w:rPr>
          <w:i/>
          <w:iCs/>
        </w:rPr>
        <w:t>RAGOps</w:t>
      </w:r>
      <w:proofErr w:type="spellEnd"/>
      <w:r>
        <w:rPr>
          <w:i/>
          <w:iCs/>
        </w:rPr>
        <w:t>: Operating and Managing Retrieval-</w:t>
      </w:r>
      <w:proofErr w:type="spellStart"/>
      <w:r>
        <w:rPr>
          <w:i/>
          <w:iCs/>
        </w:rPr>
        <w:t>Augmented</w:t>
      </w:r>
      <w:proofErr w:type="spellEnd"/>
      <w:r>
        <w:rPr>
          <w:i/>
          <w:iCs/>
        </w:rPr>
        <w:t xml:space="preserve"> Generation Pipelines</w:t>
      </w:r>
      <w:r>
        <w:t xml:space="preserve"> (Version 1). </w:t>
      </w:r>
      <w:proofErr w:type="spellStart"/>
      <w:r>
        <w:t>arXiv</w:t>
      </w:r>
      <w:proofErr w:type="spellEnd"/>
      <w:r>
        <w:t xml:space="preserve">. </w:t>
      </w:r>
      <w:hyperlink r:id="rId27" w:history="1">
        <w:r>
          <w:rPr>
            <w:rStyle w:val="Hyperlink"/>
            <w:rFonts w:eastAsiaTheme="majorEastAsia"/>
          </w:rPr>
          <w:t>https://doi.org/10.48550/ARXIV.2506.03401</w:t>
        </w:r>
      </w:hyperlink>
    </w:p>
    <w:p w14:paraId="0B70C8CF" w14:textId="77777777" w:rsidR="003A0A87" w:rsidRDefault="003A0A87" w:rsidP="009A5AE1">
      <w:pPr>
        <w:pStyle w:val="berschrift2"/>
      </w:pPr>
    </w:p>
    <w:p w14:paraId="25DA4D16" w14:textId="77777777" w:rsidR="001754E5" w:rsidRDefault="001754E5" w:rsidP="001754E5"/>
    <w:p w14:paraId="281E8D36" w14:textId="262C4A4A" w:rsidR="001754E5" w:rsidRPr="001754E5" w:rsidRDefault="001754E5" w:rsidP="001754E5"/>
    <w:p w14:paraId="78A1E9F3" w14:textId="7AAA83F7" w:rsidR="007E772E" w:rsidRDefault="007E772E" w:rsidP="007E772E"/>
    <w:p w14:paraId="67C19117" w14:textId="4A9E560F" w:rsidR="007E772E" w:rsidRDefault="007E772E" w:rsidP="007E772E"/>
    <w:p w14:paraId="28F89655" w14:textId="5D25E252" w:rsidR="00FA0DED" w:rsidRPr="009D3F39" w:rsidRDefault="00FA0DED" w:rsidP="009A5AE1">
      <w:pPr>
        <w:spacing w:before="120" w:after="120" w:line="276" w:lineRule="auto"/>
      </w:pPr>
    </w:p>
    <w:sectPr w:rsidR="00FA0DED" w:rsidRPr="009D3F39" w:rsidSect="00D44D7D">
      <w:footerReference w:type="even" r:id="rId28"/>
      <w:footerReference w:type="default" r:id="rId29"/>
      <w:pgSz w:w="11900" w:h="16840"/>
      <w:pgMar w:top="1418" w:right="1134" w:bottom="1134"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AFDDB" w14:textId="77777777" w:rsidR="00DF258C" w:rsidRDefault="00DF258C" w:rsidP="00B9621C">
      <w:pPr>
        <w:spacing w:before="0" w:after="0" w:line="240" w:lineRule="auto"/>
      </w:pPr>
      <w:r>
        <w:separator/>
      </w:r>
    </w:p>
  </w:endnote>
  <w:endnote w:type="continuationSeparator" w:id="0">
    <w:p w14:paraId="4A0F4A8D" w14:textId="77777777" w:rsidR="00DF258C" w:rsidRDefault="00DF258C" w:rsidP="00B962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539503166"/>
      <w:docPartObj>
        <w:docPartGallery w:val="Page Numbers (Bottom of Page)"/>
        <w:docPartUnique/>
      </w:docPartObj>
    </w:sdtPr>
    <w:sdtEndPr>
      <w:rPr>
        <w:rStyle w:val="Seitenzahl"/>
      </w:rPr>
    </w:sdtEndPr>
    <w:sdtContent>
      <w:p w14:paraId="6474CC67" w14:textId="7A600EA6" w:rsidR="00B9621C" w:rsidRDefault="00B9621C" w:rsidP="00396B0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503D8DC6" w14:textId="77777777" w:rsidR="00B9621C" w:rsidRDefault="00B9621C" w:rsidP="00B9621C">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014348183"/>
      <w:docPartObj>
        <w:docPartGallery w:val="Page Numbers (Bottom of Page)"/>
        <w:docPartUnique/>
      </w:docPartObj>
    </w:sdtPr>
    <w:sdtEndPr>
      <w:rPr>
        <w:rStyle w:val="Seitenzahl"/>
      </w:rPr>
    </w:sdtEndPr>
    <w:sdtContent>
      <w:p w14:paraId="74F4B624" w14:textId="14885282" w:rsidR="00B9621C" w:rsidRDefault="00B9621C" w:rsidP="00396B0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60E60FB0" w14:textId="77777777" w:rsidR="00B9621C" w:rsidRDefault="00B9621C" w:rsidP="00B9621C">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9AAF6" w14:textId="77777777" w:rsidR="00DF258C" w:rsidRDefault="00DF258C" w:rsidP="00B9621C">
      <w:pPr>
        <w:spacing w:before="0" w:after="0" w:line="240" w:lineRule="auto"/>
      </w:pPr>
      <w:r>
        <w:separator/>
      </w:r>
    </w:p>
  </w:footnote>
  <w:footnote w:type="continuationSeparator" w:id="0">
    <w:p w14:paraId="6021A546" w14:textId="77777777" w:rsidR="00DF258C" w:rsidRDefault="00DF258C" w:rsidP="00B9621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F213C"/>
    <w:multiLevelType w:val="multilevel"/>
    <w:tmpl w:val="88E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01471"/>
    <w:multiLevelType w:val="multilevel"/>
    <w:tmpl w:val="E6C8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AF27DB"/>
    <w:multiLevelType w:val="multilevel"/>
    <w:tmpl w:val="6A34AC06"/>
    <w:lvl w:ilvl="0">
      <w:start w:val="1"/>
      <w:numFmt w:val="decimal"/>
      <w:pStyle w:val="Listenabsatz"/>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8731DF9"/>
    <w:multiLevelType w:val="hybridMultilevel"/>
    <w:tmpl w:val="CFBE5FD2"/>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8C7391B"/>
    <w:multiLevelType w:val="multilevel"/>
    <w:tmpl w:val="6A34AC06"/>
    <w:styleLink w:val="AktuelleListe1"/>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7C32F2D"/>
    <w:multiLevelType w:val="multilevel"/>
    <w:tmpl w:val="2364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C36184"/>
    <w:multiLevelType w:val="hybridMultilevel"/>
    <w:tmpl w:val="53DA3096"/>
    <w:lvl w:ilvl="0" w:tplc="5F90B0F2">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28011338">
    <w:abstractNumId w:val="0"/>
  </w:num>
  <w:num w:numId="2" w16cid:durableId="2092313450">
    <w:abstractNumId w:val="5"/>
  </w:num>
  <w:num w:numId="3" w16cid:durableId="158354619">
    <w:abstractNumId w:val="6"/>
  </w:num>
  <w:num w:numId="4" w16cid:durableId="544490626">
    <w:abstractNumId w:val="3"/>
  </w:num>
  <w:num w:numId="5" w16cid:durableId="1538352268">
    <w:abstractNumId w:val="2"/>
  </w:num>
  <w:num w:numId="6" w16cid:durableId="787702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895734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75018096">
    <w:abstractNumId w:val="4"/>
  </w:num>
  <w:num w:numId="9" w16cid:durableId="888493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E3A"/>
    <w:rsid w:val="0002699C"/>
    <w:rsid w:val="00036958"/>
    <w:rsid w:val="0006404C"/>
    <w:rsid w:val="000778ED"/>
    <w:rsid w:val="0008429C"/>
    <w:rsid w:val="0009773E"/>
    <w:rsid w:val="000B5E27"/>
    <w:rsid w:val="000C72F7"/>
    <w:rsid w:val="000F1B98"/>
    <w:rsid w:val="00122284"/>
    <w:rsid w:val="00132D6A"/>
    <w:rsid w:val="00152D33"/>
    <w:rsid w:val="00170EAD"/>
    <w:rsid w:val="001754E5"/>
    <w:rsid w:val="001A66C8"/>
    <w:rsid w:val="001B0E66"/>
    <w:rsid w:val="001B4362"/>
    <w:rsid w:val="001E04E4"/>
    <w:rsid w:val="0020111A"/>
    <w:rsid w:val="00203E6B"/>
    <w:rsid w:val="00213B68"/>
    <w:rsid w:val="00217FF4"/>
    <w:rsid w:val="0022425C"/>
    <w:rsid w:val="00225308"/>
    <w:rsid w:val="00225E55"/>
    <w:rsid w:val="00232BEE"/>
    <w:rsid w:val="00271EC8"/>
    <w:rsid w:val="002804E1"/>
    <w:rsid w:val="00282FC4"/>
    <w:rsid w:val="002859FA"/>
    <w:rsid w:val="002946D0"/>
    <w:rsid w:val="002A6101"/>
    <w:rsid w:val="002A64E0"/>
    <w:rsid w:val="002C23AB"/>
    <w:rsid w:val="002C4B57"/>
    <w:rsid w:val="002D36BD"/>
    <w:rsid w:val="00333A71"/>
    <w:rsid w:val="0033450C"/>
    <w:rsid w:val="00374FCD"/>
    <w:rsid w:val="00383884"/>
    <w:rsid w:val="00393389"/>
    <w:rsid w:val="003A0A87"/>
    <w:rsid w:val="003A0A99"/>
    <w:rsid w:val="003A3A17"/>
    <w:rsid w:val="003A6744"/>
    <w:rsid w:val="003C06E8"/>
    <w:rsid w:val="003C7507"/>
    <w:rsid w:val="003D0B0E"/>
    <w:rsid w:val="003D1A74"/>
    <w:rsid w:val="003D5436"/>
    <w:rsid w:val="003E3F88"/>
    <w:rsid w:val="00403E92"/>
    <w:rsid w:val="0041523E"/>
    <w:rsid w:val="004502A9"/>
    <w:rsid w:val="00452AD9"/>
    <w:rsid w:val="00454402"/>
    <w:rsid w:val="004570FF"/>
    <w:rsid w:val="00467837"/>
    <w:rsid w:val="004807E1"/>
    <w:rsid w:val="00497CFF"/>
    <w:rsid w:val="004C3F61"/>
    <w:rsid w:val="004C7255"/>
    <w:rsid w:val="004C7701"/>
    <w:rsid w:val="004E1DBE"/>
    <w:rsid w:val="005173CD"/>
    <w:rsid w:val="005264E7"/>
    <w:rsid w:val="00537E3A"/>
    <w:rsid w:val="00563BF2"/>
    <w:rsid w:val="00572D0D"/>
    <w:rsid w:val="00591EC1"/>
    <w:rsid w:val="005A1700"/>
    <w:rsid w:val="005A174C"/>
    <w:rsid w:val="005A4976"/>
    <w:rsid w:val="005B7C42"/>
    <w:rsid w:val="005C4BE8"/>
    <w:rsid w:val="005C5528"/>
    <w:rsid w:val="005D691A"/>
    <w:rsid w:val="005E35AB"/>
    <w:rsid w:val="005E4C59"/>
    <w:rsid w:val="006016F6"/>
    <w:rsid w:val="00604E23"/>
    <w:rsid w:val="006134E3"/>
    <w:rsid w:val="00622A94"/>
    <w:rsid w:val="006349F9"/>
    <w:rsid w:val="006501C0"/>
    <w:rsid w:val="00656AD7"/>
    <w:rsid w:val="0066364F"/>
    <w:rsid w:val="0068053B"/>
    <w:rsid w:val="00684B78"/>
    <w:rsid w:val="006A0C61"/>
    <w:rsid w:val="006A2F95"/>
    <w:rsid w:val="006B452A"/>
    <w:rsid w:val="006C5CB9"/>
    <w:rsid w:val="006F3421"/>
    <w:rsid w:val="00706466"/>
    <w:rsid w:val="00727F0A"/>
    <w:rsid w:val="007304CD"/>
    <w:rsid w:val="0073761D"/>
    <w:rsid w:val="00750B58"/>
    <w:rsid w:val="00776A1D"/>
    <w:rsid w:val="00794B76"/>
    <w:rsid w:val="007E20BB"/>
    <w:rsid w:val="007E41D8"/>
    <w:rsid w:val="007E772E"/>
    <w:rsid w:val="007F324E"/>
    <w:rsid w:val="00832D0F"/>
    <w:rsid w:val="00835FF5"/>
    <w:rsid w:val="00842B5D"/>
    <w:rsid w:val="00846BFD"/>
    <w:rsid w:val="00851EA1"/>
    <w:rsid w:val="008608D1"/>
    <w:rsid w:val="00867BB0"/>
    <w:rsid w:val="00880623"/>
    <w:rsid w:val="008853D6"/>
    <w:rsid w:val="00890777"/>
    <w:rsid w:val="008A17C4"/>
    <w:rsid w:val="008C52A7"/>
    <w:rsid w:val="008C7E84"/>
    <w:rsid w:val="008D4B60"/>
    <w:rsid w:val="008E0B60"/>
    <w:rsid w:val="008E4954"/>
    <w:rsid w:val="008F37C5"/>
    <w:rsid w:val="00902F3B"/>
    <w:rsid w:val="00905542"/>
    <w:rsid w:val="009062AF"/>
    <w:rsid w:val="00906C39"/>
    <w:rsid w:val="009176CE"/>
    <w:rsid w:val="009234F0"/>
    <w:rsid w:val="0093631D"/>
    <w:rsid w:val="00936BA1"/>
    <w:rsid w:val="0095684E"/>
    <w:rsid w:val="00962F20"/>
    <w:rsid w:val="009A5AE1"/>
    <w:rsid w:val="009A7BA4"/>
    <w:rsid w:val="009B13C3"/>
    <w:rsid w:val="009B282B"/>
    <w:rsid w:val="009D3F39"/>
    <w:rsid w:val="009E1962"/>
    <w:rsid w:val="009E5834"/>
    <w:rsid w:val="009F775B"/>
    <w:rsid w:val="00A0271D"/>
    <w:rsid w:val="00A4664F"/>
    <w:rsid w:val="00A512CF"/>
    <w:rsid w:val="00A604E3"/>
    <w:rsid w:val="00A62006"/>
    <w:rsid w:val="00A63577"/>
    <w:rsid w:val="00A63633"/>
    <w:rsid w:val="00A82CAF"/>
    <w:rsid w:val="00A97995"/>
    <w:rsid w:val="00AA0E15"/>
    <w:rsid w:val="00AB07AE"/>
    <w:rsid w:val="00AC12BD"/>
    <w:rsid w:val="00AE3417"/>
    <w:rsid w:val="00B069EC"/>
    <w:rsid w:val="00B10C08"/>
    <w:rsid w:val="00B13CC8"/>
    <w:rsid w:val="00B37D3E"/>
    <w:rsid w:val="00B44549"/>
    <w:rsid w:val="00B539B5"/>
    <w:rsid w:val="00B6503A"/>
    <w:rsid w:val="00B9621C"/>
    <w:rsid w:val="00BD2B5A"/>
    <w:rsid w:val="00BF7F36"/>
    <w:rsid w:val="00C12A5A"/>
    <w:rsid w:val="00C149CB"/>
    <w:rsid w:val="00C16130"/>
    <w:rsid w:val="00C36C83"/>
    <w:rsid w:val="00C53FEF"/>
    <w:rsid w:val="00C60B00"/>
    <w:rsid w:val="00C65730"/>
    <w:rsid w:val="00C94799"/>
    <w:rsid w:val="00CC19D6"/>
    <w:rsid w:val="00D44D7D"/>
    <w:rsid w:val="00D45435"/>
    <w:rsid w:val="00D533E5"/>
    <w:rsid w:val="00D66FBA"/>
    <w:rsid w:val="00D95E15"/>
    <w:rsid w:val="00DA526F"/>
    <w:rsid w:val="00DA6B78"/>
    <w:rsid w:val="00DF202A"/>
    <w:rsid w:val="00DF258C"/>
    <w:rsid w:val="00E16C03"/>
    <w:rsid w:val="00E21DC4"/>
    <w:rsid w:val="00E26739"/>
    <w:rsid w:val="00E40E2C"/>
    <w:rsid w:val="00E46D24"/>
    <w:rsid w:val="00E64F0E"/>
    <w:rsid w:val="00E7397B"/>
    <w:rsid w:val="00E822AA"/>
    <w:rsid w:val="00E83498"/>
    <w:rsid w:val="00E95E61"/>
    <w:rsid w:val="00E973A6"/>
    <w:rsid w:val="00EA193F"/>
    <w:rsid w:val="00EE7574"/>
    <w:rsid w:val="00F006F2"/>
    <w:rsid w:val="00F05674"/>
    <w:rsid w:val="00F25896"/>
    <w:rsid w:val="00F32F8B"/>
    <w:rsid w:val="00F41E68"/>
    <w:rsid w:val="00F42C42"/>
    <w:rsid w:val="00F44348"/>
    <w:rsid w:val="00F474A7"/>
    <w:rsid w:val="00F74FBB"/>
    <w:rsid w:val="00F81A91"/>
    <w:rsid w:val="00F8596B"/>
    <w:rsid w:val="00F92981"/>
    <w:rsid w:val="00FA0DED"/>
    <w:rsid w:val="00FB047D"/>
    <w:rsid w:val="00FB0DCE"/>
    <w:rsid w:val="00FD7E7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0F360"/>
  <w15:chartTrackingRefBased/>
  <w15:docId w15:val="{36C8E3EA-36A9-7144-AC3F-0506383E7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de-DE" w:eastAsia="en-US" w:bidi="ar-SA"/>
        <w14:ligatures w14:val="standardContextual"/>
      </w:rPr>
    </w:rPrDefault>
    <w:pPrDefault>
      <w:pPr>
        <w:spacing w:before="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264E7"/>
    <w:pPr>
      <w:spacing w:before="60" w:after="60"/>
      <w:contextualSpacing/>
    </w:pPr>
    <w:rPr>
      <w:rFonts w:ascii="Arial" w:hAnsi="Arial" w:cs="Arial"/>
      <w:kern w:val="0"/>
      <w:sz w:val="22"/>
      <w:szCs w:val="22"/>
      <w:lang w:eastAsia="de-DE"/>
      <w14:ligatures w14:val="none"/>
    </w:rPr>
  </w:style>
  <w:style w:type="paragraph" w:styleId="berschrift1">
    <w:name w:val="heading 1"/>
    <w:basedOn w:val="Titel"/>
    <w:next w:val="Standard"/>
    <w:link w:val="berschrift1Zchn"/>
    <w:autoRedefine/>
    <w:uiPriority w:val="9"/>
    <w:qFormat/>
    <w:rsid w:val="003D1A74"/>
    <w:pPr>
      <w:keepNext/>
      <w:keepLines/>
      <w:outlineLvl w:val="0"/>
    </w:pPr>
    <w:rPr>
      <w:rFonts w:ascii="Arial" w:hAnsi="Arial"/>
      <w:bCs/>
      <w:color w:val="000000" w:themeColor="text1"/>
      <w:sz w:val="24"/>
      <w:szCs w:val="28"/>
    </w:rPr>
  </w:style>
  <w:style w:type="paragraph" w:styleId="berschrift2">
    <w:name w:val="heading 2"/>
    <w:basedOn w:val="Titel"/>
    <w:next w:val="Standard"/>
    <w:link w:val="berschrift2Zchn"/>
    <w:uiPriority w:val="9"/>
    <w:unhideWhenUsed/>
    <w:qFormat/>
    <w:rsid w:val="0073761D"/>
    <w:pPr>
      <w:keepNext/>
      <w:keepLines/>
      <w:spacing w:before="120"/>
      <w:contextualSpacing w:val="0"/>
      <w:outlineLvl w:val="1"/>
    </w:pPr>
    <w:rPr>
      <w:rFonts w:ascii="Arial" w:hAnsi="Arial"/>
      <w:b/>
      <w:bCs/>
      <w:color w:val="000000" w:themeColor="text1"/>
      <w:sz w:val="22"/>
      <w:szCs w:val="26"/>
    </w:rPr>
  </w:style>
  <w:style w:type="paragraph" w:styleId="berschrift3">
    <w:name w:val="heading 3"/>
    <w:basedOn w:val="Standard"/>
    <w:next w:val="Standard"/>
    <w:link w:val="berschrift3Zchn"/>
    <w:uiPriority w:val="9"/>
    <w:unhideWhenUsed/>
    <w:qFormat/>
    <w:rsid w:val="003A0A99"/>
    <w:pPr>
      <w:keepNext/>
      <w:keepLines/>
      <w:spacing w:before="40"/>
      <w:jc w:val="left"/>
      <w:outlineLvl w:val="2"/>
    </w:pPr>
    <w:rPr>
      <w:rFonts w:eastAsiaTheme="majorEastAsia" w:cstheme="majorBidi"/>
      <w:color w:val="000000" w:themeColor="text1"/>
    </w:rPr>
  </w:style>
  <w:style w:type="paragraph" w:styleId="berschrift4">
    <w:name w:val="heading 4"/>
    <w:basedOn w:val="Standard"/>
    <w:next w:val="Standard"/>
    <w:link w:val="berschrift4Zchn"/>
    <w:autoRedefine/>
    <w:uiPriority w:val="9"/>
    <w:unhideWhenUsed/>
    <w:qFormat/>
    <w:rsid w:val="00D66FBA"/>
    <w:pPr>
      <w:keepNext/>
      <w:keepLines/>
      <w:spacing w:before="40"/>
      <w:outlineLvl w:val="3"/>
    </w:pPr>
    <w:rPr>
      <w:rFonts w:eastAsiaTheme="majorEastAsia" w:cstheme="majorBidi"/>
      <w:b/>
      <w:iCs/>
      <w:color w:val="000000" w:themeColor="text1"/>
    </w:rPr>
  </w:style>
  <w:style w:type="paragraph" w:styleId="berschrift5">
    <w:name w:val="heading 5"/>
    <w:basedOn w:val="Standard"/>
    <w:next w:val="Standard"/>
    <w:link w:val="berschrift5Zchn"/>
    <w:uiPriority w:val="9"/>
    <w:semiHidden/>
    <w:unhideWhenUsed/>
    <w:qFormat/>
    <w:rsid w:val="00537E3A"/>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537E3A"/>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37E3A"/>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537E3A"/>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37E3A"/>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teraturverzeichnis">
    <w:name w:val="Bibliography"/>
    <w:basedOn w:val="Standard"/>
    <w:autoRedefine/>
    <w:uiPriority w:val="37"/>
    <w:unhideWhenUsed/>
    <w:qFormat/>
    <w:rsid w:val="00C149CB"/>
    <w:pPr>
      <w:spacing w:line="240" w:lineRule="auto"/>
      <w:jc w:val="left"/>
    </w:pPr>
    <w:rPr>
      <w:sz w:val="20"/>
    </w:rPr>
  </w:style>
  <w:style w:type="character" w:customStyle="1" w:styleId="berschrift1Zchn">
    <w:name w:val="Überschrift 1 Zchn"/>
    <w:basedOn w:val="Absatz-Standardschriftart"/>
    <w:link w:val="berschrift1"/>
    <w:uiPriority w:val="9"/>
    <w:rsid w:val="003D1A74"/>
    <w:rPr>
      <w:rFonts w:ascii="Arial" w:eastAsiaTheme="majorEastAsia" w:hAnsi="Arial" w:cstheme="majorBidi"/>
      <w:bCs/>
      <w:color w:val="000000" w:themeColor="text1"/>
      <w:spacing w:val="-10"/>
      <w:kern w:val="28"/>
      <w:szCs w:val="28"/>
      <w:lang w:eastAsia="de-DE"/>
      <w14:ligatures w14:val="none"/>
    </w:rPr>
  </w:style>
  <w:style w:type="paragraph" w:styleId="Funotentext">
    <w:name w:val="footnote text"/>
    <w:aliases w:val="Abbildungsver"/>
    <w:basedOn w:val="Abbildungsverzeichnis"/>
    <w:next w:val="Abbildungsverzeichnis"/>
    <w:link w:val="FunotentextZchn"/>
    <w:autoRedefine/>
    <w:uiPriority w:val="99"/>
    <w:unhideWhenUsed/>
    <w:qFormat/>
    <w:rsid w:val="008E4954"/>
    <w:pPr>
      <w:spacing w:line="240" w:lineRule="auto"/>
      <w:jc w:val="both"/>
    </w:pPr>
    <w:rPr>
      <w:rFonts w:cstheme="minorBidi"/>
      <w:lang w:eastAsia="en-US"/>
    </w:rPr>
  </w:style>
  <w:style w:type="character" w:customStyle="1" w:styleId="FunotentextZchn">
    <w:name w:val="Fußnotentext Zchn"/>
    <w:aliases w:val="Abbildungsver Zchn"/>
    <w:basedOn w:val="Absatz-Standardschriftart"/>
    <w:link w:val="Funotentext"/>
    <w:uiPriority w:val="99"/>
    <w:rsid w:val="008E4954"/>
    <w:rPr>
      <w:sz w:val="20"/>
      <w:szCs w:val="20"/>
    </w:rPr>
  </w:style>
  <w:style w:type="paragraph" w:styleId="Abbildungsverzeichnis">
    <w:name w:val="table of figures"/>
    <w:basedOn w:val="Standard"/>
    <w:next w:val="Standard"/>
    <w:autoRedefine/>
    <w:uiPriority w:val="99"/>
    <w:unhideWhenUsed/>
    <w:qFormat/>
    <w:rsid w:val="00E95E61"/>
    <w:pPr>
      <w:spacing w:before="0" w:after="0"/>
      <w:jc w:val="left"/>
    </w:pPr>
    <w:rPr>
      <w:rFonts w:asciiTheme="minorHAnsi" w:hAnsiTheme="minorHAnsi"/>
      <w:i/>
      <w:iCs/>
      <w:sz w:val="20"/>
      <w:szCs w:val="20"/>
    </w:rPr>
  </w:style>
  <w:style w:type="paragraph" w:styleId="Titel">
    <w:name w:val="Title"/>
    <w:basedOn w:val="Standard"/>
    <w:next w:val="Standard"/>
    <w:link w:val="TitelZchn"/>
    <w:uiPriority w:val="10"/>
    <w:qFormat/>
    <w:rsid w:val="009176CE"/>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76CE"/>
    <w:rPr>
      <w:rFonts w:asciiTheme="majorHAnsi" w:eastAsiaTheme="majorEastAsia" w:hAnsiTheme="majorHAnsi" w:cstheme="majorBidi"/>
      <w:spacing w:val="-10"/>
      <w:kern w:val="28"/>
      <w:sz w:val="56"/>
      <w:szCs w:val="56"/>
    </w:rPr>
  </w:style>
  <w:style w:type="paragraph" w:styleId="NurText">
    <w:name w:val="Plain Text"/>
    <w:basedOn w:val="Textkrper"/>
    <w:link w:val="NurTextZchn"/>
    <w:uiPriority w:val="99"/>
    <w:semiHidden/>
    <w:unhideWhenUsed/>
    <w:qFormat/>
    <w:rsid w:val="009176CE"/>
    <w:rPr>
      <w:rFonts w:cs="Consolas"/>
      <w:color w:val="000000" w:themeColor="text1"/>
      <w:sz w:val="21"/>
      <w:szCs w:val="21"/>
    </w:rPr>
  </w:style>
  <w:style w:type="character" w:customStyle="1" w:styleId="NurTextZchn">
    <w:name w:val="Nur Text Zchn"/>
    <w:basedOn w:val="Absatz-Standardschriftart"/>
    <w:link w:val="NurText"/>
    <w:uiPriority w:val="99"/>
    <w:semiHidden/>
    <w:rsid w:val="009176CE"/>
    <w:rPr>
      <w:rFonts w:ascii="Arial" w:hAnsi="Arial" w:cs="Consolas"/>
      <w:color w:val="000000" w:themeColor="text1"/>
      <w:sz w:val="21"/>
      <w:szCs w:val="21"/>
    </w:rPr>
  </w:style>
  <w:style w:type="paragraph" w:styleId="Textkrper">
    <w:name w:val="Body Text"/>
    <w:basedOn w:val="Standard"/>
    <w:link w:val="TextkrperZchn"/>
    <w:uiPriority w:val="99"/>
    <w:semiHidden/>
    <w:unhideWhenUsed/>
    <w:rsid w:val="009176CE"/>
    <w:pPr>
      <w:spacing w:after="120"/>
    </w:pPr>
  </w:style>
  <w:style w:type="character" w:customStyle="1" w:styleId="TextkrperZchn">
    <w:name w:val="Textkörper Zchn"/>
    <w:basedOn w:val="Absatz-Standardschriftart"/>
    <w:link w:val="Textkrper"/>
    <w:uiPriority w:val="99"/>
    <w:semiHidden/>
    <w:rsid w:val="009176CE"/>
  </w:style>
  <w:style w:type="character" w:customStyle="1" w:styleId="berschrift2Zchn">
    <w:name w:val="Überschrift 2 Zchn"/>
    <w:basedOn w:val="Absatz-Standardschriftart"/>
    <w:link w:val="berschrift2"/>
    <w:uiPriority w:val="9"/>
    <w:rsid w:val="0073761D"/>
    <w:rPr>
      <w:rFonts w:ascii="Arial" w:eastAsiaTheme="majorEastAsia" w:hAnsi="Arial" w:cstheme="majorBidi"/>
      <w:b/>
      <w:bCs/>
      <w:color w:val="000000" w:themeColor="text1"/>
      <w:spacing w:val="-10"/>
      <w:kern w:val="28"/>
      <w:sz w:val="22"/>
      <w:szCs w:val="26"/>
      <w:lang w:eastAsia="de-DE"/>
      <w14:ligatures w14:val="none"/>
    </w:rPr>
  </w:style>
  <w:style w:type="character" w:customStyle="1" w:styleId="berschrift3Zchn">
    <w:name w:val="Überschrift 3 Zchn"/>
    <w:basedOn w:val="Absatz-Standardschriftart"/>
    <w:link w:val="berschrift3"/>
    <w:uiPriority w:val="9"/>
    <w:rsid w:val="003A0A99"/>
    <w:rPr>
      <w:rFonts w:ascii="Arial" w:eastAsiaTheme="majorEastAsia" w:hAnsi="Arial" w:cstheme="majorBidi"/>
      <w:color w:val="000000" w:themeColor="text1"/>
      <w:kern w:val="0"/>
      <w:sz w:val="22"/>
      <w:szCs w:val="22"/>
      <w:lang w:eastAsia="de-DE"/>
      <w14:ligatures w14:val="none"/>
    </w:rPr>
  </w:style>
  <w:style w:type="paragraph" w:styleId="Fuzeile">
    <w:name w:val="footer"/>
    <w:basedOn w:val="Standard"/>
    <w:link w:val="FuzeileZchn"/>
    <w:uiPriority w:val="99"/>
    <w:unhideWhenUsed/>
    <w:qFormat/>
    <w:rsid w:val="00AA0E15"/>
    <w:pPr>
      <w:tabs>
        <w:tab w:val="center" w:pos="4536"/>
        <w:tab w:val="right" w:pos="9072"/>
      </w:tabs>
      <w:spacing w:line="240" w:lineRule="auto"/>
    </w:pPr>
    <w:rPr>
      <w:sz w:val="20"/>
    </w:rPr>
  </w:style>
  <w:style w:type="character" w:customStyle="1" w:styleId="FuzeileZchn">
    <w:name w:val="Fußzeile Zchn"/>
    <w:basedOn w:val="Absatz-Standardschriftart"/>
    <w:link w:val="Fuzeile"/>
    <w:uiPriority w:val="99"/>
    <w:rsid w:val="00AA0E15"/>
    <w:rPr>
      <w:rFonts w:ascii="Arial" w:hAnsi="Arial"/>
      <w:sz w:val="20"/>
    </w:rPr>
  </w:style>
  <w:style w:type="paragraph" w:customStyle="1" w:styleId="Formatvorlage2">
    <w:name w:val="Formatvorlage2"/>
    <w:basedOn w:val="berschrift1"/>
    <w:link w:val="Formatvorlage2Zchn"/>
    <w:autoRedefine/>
    <w:qFormat/>
    <w:rsid w:val="00F42C42"/>
    <w:rPr>
      <w:sz w:val="36"/>
    </w:rPr>
  </w:style>
  <w:style w:type="character" w:customStyle="1" w:styleId="Formatvorlage2Zchn">
    <w:name w:val="Formatvorlage2 Zchn"/>
    <w:basedOn w:val="berschrift1Zchn"/>
    <w:link w:val="Formatvorlage2"/>
    <w:rsid w:val="00F42C42"/>
    <w:rPr>
      <w:rFonts w:ascii="Arial" w:eastAsiaTheme="majorEastAsia" w:hAnsi="Arial" w:cstheme="majorBidi"/>
      <w:bCs/>
      <w:color w:val="000000" w:themeColor="text1"/>
      <w:spacing w:val="-10"/>
      <w:kern w:val="28"/>
      <w:sz w:val="36"/>
      <w:szCs w:val="28"/>
      <w:lang w:eastAsia="de-DE"/>
      <w14:ligatures w14:val="none"/>
    </w:rPr>
  </w:style>
  <w:style w:type="paragraph" w:styleId="StandardWeb">
    <w:name w:val="Normal (Web)"/>
    <w:basedOn w:val="Standard"/>
    <w:autoRedefine/>
    <w:uiPriority w:val="99"/>
    <w:unhideWhenUsed/>
    <w:qFormat/>
    <w:rsid w:val="00591EC1"/>
    <w:pPr>
      <w:spacing w:line="240" w:lineRule="auto"/>
      <w:jc w:val="left"/>
    </w:pPr>
  </w:style>
  <w:style w:type="paragraph" w:styleId="Kommentartext">
    <w:name w:val="annotation text"/>
    <w:basedOn w:val="Standard"/>
    <w:link w:val="KommentartextZchn"/>
    <w:autoRedefine/>
    <w:uiPriority w:val="99"/>
    <w:semiHidden/>
    <w:unhideWhenUsed/>
    <w:qFormat/>
    <w:rsid w:val="00E46D24"/>
    <w:pPr>
      <w:spacing w:line="240" w:lineRule="auto"/>
    </w:pPr>
    <w:rPr>
      <w:sz w:val="16"/>
      <w:szCs w:val="20"/>
    </w:rPr>
  </w:style>
  <w:style w:type="character" w:customStyle="1" w:styleId="KommentartextZchn">
    <w:name w:val="Kommentartext Zchn"/>
    <w:basedOn w:val="Absatz-Standardschriftart"/>
    <w:link w:val="Kommentartext"/>
    <w:uiPriority w:val="99"/>
    <w:semiHidden/>
    <w:rsid w:val="00E46D24"/>
    <w:rPr>
      <w:rFonts w:ascii="Arial" w:hAnsi="Arial"/>
      <w:sz w:val="16"/>
      <w:szCs w:val="20"/>
    </w:rPr>
  </w:style>
  <w:style w:type="table" w:styleId="TabelleListe1">
    <w:name w:val="Table List 1"/>
    <w:basedOn w:val="NormaleTabelle"/>
    <w:uiPriority w:val="99"/>
    <w:semiHidden/>
    <w:unhideWhenUsed/>
    <w:rsid w:val="008C7E84"/>
    <w:rPr>
      <w:rFonts w:ascii="Arial" w:hAnsi="Arial"/>
      <w:sz w:val="2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Verzeichnis1">
    <w:name w:val="toc 1"/>
    <w:aliases w:val="Tabellenverzeichnis"/>
    <w:basedOn w:val="Standard"/>
    <w:next w:val="Standard"/>
    <w:autoRedefine/>
    <w:uiPriority w:val="39"/>
    <w:unhideWhenUsed/>
    <w:qFormat/>
    <w:rsid w:val="008C7E84"/>
    <w:pPr>
      <w:spacing w:before="120" w:after="120"/>
      <w:jc w:val="left"/>
    </w:pPr>
    <w:rPr>
      <w:rFonts w:asciiTheme="minorHAnsi" w:hAnsiTheme="minorHAnsi"/>
      <w:b/>
      <w:bCs/>
      <w:caps/>
      <w:sz w:val="20"/>
      <w:szCs w:val="20"/>
    </w:rPr>
  </w:style>
  <w:style w:type="character" w:customStyle="1" w:styleId="berschrift4Zchn">
    <w:name w:val="Überschrift 4 Zchn"/>
    <w:basedOn w:val="Absatz-Standardschriftart"/>
    <w:link w:val="berschrift4"/>
    <w:uiPriority w:val="9"/>
    <w:rsid w:val="00D66FBA"/>
    <w:rPr>
      <w:rFonts w:ascii="Arial" w:eastAsiaTheme="majorEastAsia" w:hAnsi="Arial" w:cstheme="majorBidi"/>
      <w:b/>
      <w:iCs/>
      <w:color w:val="000000" w:themeColor="text1"/>
      <w:sz w:val="22"/>
    </w:rPr>
  </w:style>
  <w:style w:type="paragraph" w:customStyle="1" w:styleId="Quellenverzeichnis">
    <w:name w:val="Quellenverzeichnis"/>
    <w:basedOn w:val="Standard"/>
    <w:autoRedefine/>
    <w:qFormat/>
    <w:rsid w:val="00F42C42"/>
    <w:pPr>
      <w:spacing w:line="240" w:lineRule="auto"/>
    </w:pPr>
  </w:style>
  <w:style w:type="paragraph" w:customStyle="1" w:styleId="titelblatt">
    <w:name w:val="titelblatt"/>
    <w:basedOn w:val="Standard"/>
    <w:link w:val="titelblattZchn"/>
    <w:autoRedefine/>
    <w:qFormat/>
    <w:rsid w:val="00C149CB"/>
    <w:pPr>
      <w:jc w:val="left"/>
    </w:pPr>
  </w:style>
  <w:style w:type="character" w:customStyle="1" w:styleId="titelblattZchn">
    <w:name w:val="titelblatt Zchn"/>
    <w:basedOn w:val="Absatz-Standardschriftart"/>
    <w:link w:val="titelblatt"/>
    <w:rsid w:val="00C149CB"/>
    <w:rPr>
      <w:rFonts w:ascii="Arial" w:eastAsia="Times New Roman" w:hAnsi="Arial" w:cs="Arial"/>
      <w:lang w:eastAsia="de-DE"/>
    </w:rPr>
  </w:style>
  <w:style w:type="paragraph" w:styleId="Listenabsatz">
    <w:name w:val="List Paragraph"/>
    <w:basedOn w:val="Standard"/>
    <w:next w:val="Standard"/>
    <w:autoRedefine/>
    <w:uiPriority w:val="34"/>
    <w:qFormat/>
    <w:rsid w:val="002C23AB"/>
    <w:pPr>
      <w:numPr>
        <w:numId w:val="5"/>
      </w:numPr>
    </w:pPr>
  </w:style>
  <w:style w:type="paragraph" w:styleId="Liste3">
    <w:name w:val="List 3"/>
    <w:basedOn w:val="Standard"/>
    <w:uiPriority w:val="99"/>
    <w:semiHidden/>
    <w:unhideWhenUsed/>
    <w:rsid w:val="008E4954"/>
    <w:pPr>
      <w:ind w:left="849" w:hanging="283"/>
    </w:pPr>
  </w:style>
  <w:style w:type="paragraph" w:customStyle="1" w:styleId="Quellenangabe">
    <w:name w:val="Quellenangabe"/>
    <w:basedOn w:val="Fuzeile"/>
    <w:qFormat/>
    <w:rsid w:val="0095684E"/>
    <w:pPr>
      <w:spacing w:line="360" w:lineRule="auto"/>
    </w:pPr>
    <w:rPr>
      <w:rFonts w:eastAsiaTheme="minorEastAsia"/>
      <w:szCs w:val="16"/>
    </w:rPr>
  </w:style>
  <w:style w:type="paragraph" w:customStyle="1" w:styleId="Literaturverzeichnis1">
    <w:name w:val="Literaturverzeichnis 1"/>
    <w:basedOn w:val="berschrift1"/>
    <w:next w:val="Literaturverzeichnis"/>
    <w:link w:val="Literaturverzeichnis1Zchn"/>
    <w:autoRedefine/>
    <w:qFormat/>
    <w:rsid w:val="009F775B"/>
    <w:pPr>
      <w:shd w:val="clear" w:color="auto" w:fill="FFFFFF"/>
      <w:spacing w:before="0"/>
    </w:pPr>
    <w:rPr>
      <w:rFonts w:eastAsia="Times New Roman" w:cs="Arial"/>
      <w:bCs w:val="0"/>
      <w:color w:val="262626"/>
      <w:sz w:val="22"/>
    </w:rPr>
  </w:style>
  <w:style w:type="character" w:customStyle="1" w:styleId="Literaturverzeichnis1Zchn">
    <w:name w:val="Literaturverzeichnis 1 Zchn"/>
    <w:basedOn w:val="berschrift1Zchn"/>
    <w:link w:val="Literaturverzeichnis1"/>
    <w:rsid w:val="009F775B"/>
    <w:rPr>
      <w:rFonts w:ascii="Arial" w:eastAsiaTheme="majorEastAsia" w:hAnsi="Arial" w:cs="Arial"/>
      <w:bCs w:val="0"/>
      <w:color w:val="262626"/>
      <w:spacing w:val="-10"/>
      <w:kern w:val="28"/>
      <w:sz w:val="22"/>
      <w:szCs w:val="28"/>
      <w:shd w:val="clear" w:color="auto" w:fill="FFFFFF"/>
      <w:lang w:eastAsia="de-DE"/>
      <w14:ligatures w14:val="none"/>
    </w:rPr>
  </w:style>
  <w:style w:type="character" w:customStyle="1" w:styleId="berschrift5Zchn">
    <w:name w:val="Überschrift 5 Zchn"/>
    <w:basedOn w:val="Absatz-Standardschriftart"/>
    <w:link w:val="berschrift5"/>
    <w:uiPriority w:val="9"/>
    <w:semiHidden/>
    <w:rsid w:val="00537E3A"/>
    <w:rPr>
      <w:rFonts w:eastAsiaTheme="majorEastAsia" w:cstheme="majorBidi"/>
      <w:color w:val="0F4761" w:themeColor="accent1" w:themeShade="BF"/>
      <w:kern w:val="0"/>
      <w:lang w:eastAsia="de-DE"/>
      <w14:ligatures w14:val="none"/>
    </w:rPr>
  </w:style>
  <w:style w:type="character" w:customStyle="1" w:styleId="berschrift6Zchn">
    <w:name w:val="Überschrift 6 Zchn"/>
    <w:basedOn w:val="Absatz-Standardschriftart"/>
    <w:link w:val="berschrift6"/>
    <w:uiPriority w:val="9"/>
    <w:semiHidden/>
    <w:rsid w:val="00537E3A"/>
    <w:rPr>
      <w:rFonts w:eastAsiaTheme="majorEastAsia" w:cstheme="majorBidi"/>
      <w:i/>
      <w:iCs/>
      <w:color w:val="595959" w:themeColor="text1" w:themeTint="A6"/>
      <w:kern w:val="0"/>
      <w:lang w:eastAsia="de-DE"/>
      <w14:ligatures w14:val="none"/>
    </w:rPr>
  </w:style>
  <w:style w:type="character" w:customStyle="1" w:styleId="berschrift7Zchn">
    <w:name w:val="Überschrift 7 Zchn"/>
    <w:basedOn w:val="Absatz-Standardschriftart"/>
    <w:link w:val="berschrift7"/>
    <w:uiPriority w:val="9"/>
    <w:semiHidden/>
    <w:rsid w:val="00537E3A"/>
    <w:rPr>
      <w:rFonts w:eastAsiaTheme="majorEastAsia" w:cstheme="majorBidi"/>
      <w:color w:val="595959" w:themeColor="text1" w:themeTint="A6"/>
      <w:kern w:val="0"/>
      <w:lang w:eastAsia="de-DE"/>
      <w14:ligatures w14:val="none"/>
    </w:rPr>
  </w:style>
  <w:style w:type="character" w:customStyle="1" w:styleId="berschrift8Zchn">
    <w:name w:val="Überschrift 8 Zchn"/>
    <w:basedOn w:val="Absatz-Standardschriftart"/>
    <w:link w:val="berschrift8"/>
    <w:uiPriority w:val="9"/>
    <w:semiHidden/>
    <w:rsid w:val="00537E3A"/>
    <w:rPr>
      <w:rFonts w:eastAsiaTheme="majorEastAsia" w:cstheme="majorBidi"/>
      <w:i/>
      <w:iCs/>
      <w:color w:val="272727" w:themeColor="text1" w:themeTint="D8"/>
      <w:kern w:val="0"/>
      <w:lang w:eastAsia="de-DE"/>
      <w14:ligatures w14:val="none"/>
    </w:rPr>
  </w:style>
  <w:style w:type="character" w:customStyle="1" w:styleId="berschrift9Zchn">
    <w:name w:val="Überschrift 9 Zchn"/>
    <w:basedOn w:val="Absatz-Standardschriftart"/>
    <w:link w:val="berschrift9"/>
    <w:uiPriority w:val="9"/>
    <w:semiHidden/>
    <w:rsid w:val="00537E3A"/>
    <w:rPr>
      <w:rFonts w:eastAsiaTheme="majorEastAsia" w:cstheme="majorBidi"/>
      <w:color w:val="272727" w:themeColor="text1" w:themeTint="D8"/>
      <w:kern w:val="0"/>
      <w:lang w:eastAsia="de-DE"/>
      <w14:ligatures w14:val="none"/>
    </w:rPr>
  </w:style>
  <w:style w:type="paragraph" w:styleId="Untertitel">
    <w:name w:val="Subtitle"/>
    <w:basedOn w:val="Standard"/>
    <w:next w:val="Standard"/>
    <w:link w:val="UntertitelZchn"/>
    <w:uiPriority w:val="11"/>
    <w:qFormat/>
    <w:rsid w:val="00537E3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37E3A"/>
    <w:rPr>
      <w:rFonts w:eastAsiaTheme="majorEastAsia" w:cstheme="majorBidi"/>
      <w:color w:val="595959" w:themeColor="text1" w:themeTint="A6"/>
      <w:spacing w:val="15"/>
      <w:kern w:val="0"/>
      <w:sz w:val="28"/>
      <w:szCs w:val="28"/>
      <w:lang w:eastAsia="de-DE"/>
      <w14:ligatures w14:val="none"/>
    </w:rPr>
  </w:style>
  <w:style w:type="paragraph" w:styleId="Zitat">
    <w:name w:val="Quote"/>
    <w:basedOn w:val="Standard"/>
    <w:next w:val="Standard"/>
    <w:link w:val="ZitatZchn"/>
    <w:uiPriority w:val="29"/>
    <w:qFormat/>
    <w:rsid w:val="00537E3A"/>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537E3A"/>
    <w:rPr>
      <w:rFonts w:ascii="Arial" w:hAnsi="Arial" w:cs="Times New Roman"/>
      <w:i/>
      <w:iCs/>
      <w:color w:val="404040" w:themeColor="text1" w:themeTint="BF"/>
      <w:kern w:val="0"/>
      <w:lang w:eastAsia="de-DE"/>
      <w14:ligatures w14:val="none"/>
    </w:rPr>
  </w:style>
  <w:style w:type="character" w:styleId="IntensiveHervorhebung">
    <w:name w:val="Intense Emphasis"/>
    <w:basedOn w:val="Absatz-Standardschriftart"/>
    <w:uiPriority w:val="21"/>
    <w:qFormat/>
    <w:rsid w:val="00537E3A"/>
    <w:rPr>
      <w:i/>
      <w:iCs/>
      <w:color w:val="0F4761" w:themeColor="accent1" w:themeShade="BF"/>
    </w:rPr>
  </w:style>
  <w:style w:type="paragraph" w:styleId="IntensivesZitat">
    <w:name w:val="Intense Quote"/>
    <w:basedOn w:val="Standard"/>
    <w:next w:val="Standard"/>
    <w:link w:val="IntensivesZitatZchn"/>
    <w:uiPriority w:val="30"/>
    <w:qFormat/>
    <w:rsid w:val="00537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37E3A"/>
    <w:rPr>
      <w:rFonts w:ascii="Arial" w:hAnsi="Arial" w:cs="Times New Roman"/>
      <w:i/>
      <w:iCs/>
      <w:color w:val="0F4761" w:themeColor="accent1" w:themeShade="BF"/>
      <w:kern w:val="0"/>
      <w:lang w:eastAsia="de-DE"/>
      <w14:ligatures w14:val="none"/>
    </w:rPr>
  </w:style>
  <w:style w:type="character" w:styleId="IntensiverVerweis">
    <w:name w:val="Intense Reference"/>
    <w:basedOn w:val="Absatz-Standardschriftart"/>
    <w:uiPriority w:val="32"/>
    <w:qFormat/>
    <w:rsid w:val="00537E3A"/>
    <w:rPr>
      <w:b/>
      <w:bCs/>
      <w:smallCaps/>
      <w:color w:val="0F4761" w:themeColor="accent1" w:themeShade="BF"/>
      <w:spacing w:val="5"/>
    </w:rPr>
  </w:style>
  <w:style w:type="paragraph" w:customStyle="1" w:styleId="font-claude-response-body">
    <w:name w:val="font-claude-response-body"/>
    <w:basedOn w:val="Standard"/>
    <w:rsid w:val="00537E3A"/>
    <w:pPr>
      <w:spacing w:line="240" w:lineRule="auto"/>
      <w:jc w:val="left"/>
    </w:pPr>
    <w:rPr>
      <w:rFonts w:ascii="Times New Roman" w:hAnsi="Times New Roman"/>
    </w:rPr>
  </w:style>
  <w:style w:type="character" w:styleId="Fett">
    <w:name w:val="Strong"/>
    <w:basedOn w:val="Absatz-Standardschriftart"/>
    <w:uiPriority w:val="22"/>
    <w:qFormat/>
    <w:rsid w:val="00537E3A"/>
    <w:rPr>
      <w:b/>
      <w:bCs/>
    </w:rPr>
  </w:style>
  <w:style w:type="character" w:styleId="Hervorhebung">
    <w:name w:val="Emphasis"/>
    <w:basedOn w:val="Absatz-Standardschriftart"/>
    <w:uiPriority w:val="20"/>
    <w:qFormat/>
    <w:rsid w:val="00DF202A"/>
    <w:rPr>
      <w:i/>
      <w:iCs/>
    </w:rPr>
  </w:style>
  <w:style w:type="numbering" w:customStyle="1" w:styleId="AktuelleListe1">
    <w:name w:val="Aktuelle Liste1"/>
    <w:uiPriority w:val="99"/>
    <w:rsid w:val="002C23AB"/>
    <w:pPr>
      <w:numPr>
        <w:numId w:val="8"/>
      </w:numPr>
    </w:pPr>
  </w:style>
  <w:style w:type="paragraph" w:customStyle="1" w:styleId="whitespace-normal">
    <w:name w:val="whitespace-normal"/>
    <w:basedOn w:val="Standard"/>
    <w:rsid w:val="003A0A99"/>
    <w:pPr>
      <w:spacing w:before="100" w:beforeAutospacing="1" w:after="100" w:afterAutospacing="1" w:line="240" w:lineRule="auto"/>
      <w:contextualSpacing w:val="0"/>
      <w:jc w:val="left"/>
    </w:pPr>
    <w:rPr>
      <w:rFonts w:ascii="Times New Roman" w:hAnsi="Times New Roman" w:cs="Times New Roman"/>
      <w:sz w:val="24"/>
      <w:szCs w:val="24"/>
    </w:rPr>
  </w:style>
  <w:style w:type="character" w:styleId="Seitenzahl">
    <w:name w:val="page number"/>
    <w:basedOn w:val="Absatz-Standardschriftart"/>
    <w:uiPriority w:val="99"/>
    <w:semiHidden/>
    <w:unhideWhenUsed/>
    <w:rsid w:val="00B9621C"/>
  </w:style>
  <w:style w:type="paragraph" w:styleId="Inhaltsverzeichnisberschrift">
    <w:name w:val="TOC Heading"/>
    <w:basedOn w:val="berschrift1"/>
    <w:next w:val="Standard"/>
    <w:uiPriority w:val="39"/>
    <w:unhideWhenUsed/>
    <w:qFormat/>
    <w:rsid w:val="00F25896"/>
    <w:pPr>
      <w:spacing w:before="480" w:after="0" w:line="276" w:lineRule="auto"/>
      <w:contextualSpacing w:val="0"/>
      <w:jc w:val="left"/>
      <w:outlineLvl w:val="9"/>
    </w:pPr>
    <w:rPr>
      <w:rFonts w:asciiTheme="majorHAnsi" w:hAnsiTheme="majorHAnsi"/>
      <w:b/>
      <w:color w:val="0F4761" w:themeColor="accent1" w:themeShade="BF"/>
      <w:spacing w:val="0"/>
      <w:kern w:val="0"/>
      <w:sz w:val="28"/>
    </w:rPr>
  </w:style>
  <w:style w:type="paragraph" w:styleId="Verzeichnis2">
    <w:name w:val="toc 2"/>
    <w:basedOn w:val="Standard"/>
    <w:next w:val="Standard"/>
    <w:autoRedefine/>
    <w:uiPriority w:val="39"/>
    <w:unhideWhenUsed/>
    <w:rsid w:val="00F25896"/>
    <w:pPr>
      <w:spacing w:before="0" w:after="0"/>
      <w:ind w:left="220"/>
      <w:jc w:val="left"/>
    </w:pPr>
    <w:rPr>
      <w:rFonts w:asciiTheme="minorHAnsi" w:hAnsiTheme="minorHAnsi"/>
      <w:smallCaps/>
      <w:sz w:val="20"/>
      <w:szCs w:val="20"/>
    </w:rPr>
  </w:style>
  <w:style w:type="paragraph" w:styleId="Verzeichnis3">
    <w:name w:val="toc 3"/>
    <w:basedOn w:val="Standard"/>
    <w:next w:val="Standard"/>
    <w:autoRedefine/>
    <w:uiPriority w:val="39"/>
    <w:unhideWhenUsed/>
    <w:rsid w:val="00F25896"/>
    <w:pPr>
      <w:spacing w:before="0" w:after="0"/>
      <w:ind w:left="440"/>
      <w:jc w:val="left"/>
    </w:pPr>
    <w:rPr>
      <w:rFonts w:asciiTheme="minorHAnsi" w:hAnsiTheme="minorHAnsi"/>
      <w:i/>
      <w:iCs/>
      <w:sz w:val="20"/>
      <w:szCs w:val="20"/>
    </w:rPr>
  </w:style>
  <w:style w:type="character" w:styleId="Hyperlink">
    <w:name w:val="Hyperlink"/>
    <w:basedOn w:val="Absatz-Standardschriftart"/>
    <w:uiPriority w:val="99"/>
    <w:unhideWhenUsed/>
    <w:rsid w:val="00F25896"/>
    <w:rPr>
      <w:color w:val="467886" w:themeColor="hyperlink"/>
      <w:u w:val="single"/>
    </w:rPr>
  </w:style>
  <w:style w:type="paragraph" w:styleId="Verzeichnis4">
    <w:name w:val="toc 4"/>
    <w:basedOn w:val="Standard"/>
    <w:next w:val="Standard"/>
    <w:autoRedefine/>
    <w:uiPriority w:val="39"/>
    <w:semiHidden/>
    <w:unhideWhenUsed/>
    <w:rsid w:val="00F25896"/>
    <w:pPr>
      <w:spacing w:before="0" w:after="0"/>
      <w:ind w:left="660"/>
      <w:jc w:val="left"/>
    </w:pPr>
    <w:rPr>
      <w:rFonts w:asciiTheme="minorHAnsi" w:hAnsiTheme="minorHAnsi"/>
      <w:sz w:val="18"/>
      <w:szCs w:val="18"/>
    </w:rPr>
  </w:style>
  <w:style w:type="paragraph" w:styleId="Verzeichnis5">
    <w:name w:val="toc 5"/>
    <w:basedOn w:val="Standard"/>
    <w:next w:val="Standard"/>
    <w:autoRedefine/>
    <w:uiPriority w:val="39"/>
    <w:semiHidden/>
    <w:unhideWhenUsed/>
    <w:rsid w:val="00F25896"/>
    <w:pPr>
      <w:spacing w:before="0" w:after="0"/>
      <w:ind w:left="880"/>
      <w:jc w:val="left"/>
    </w:pPr>
    <w:rPr>
      <w:rFonts w:asciiTheme="minorHAnsi" w:hAnsiTheme="minorHAnsi"/>
      <w:sz w:val="18"/>
      <w:szCs w:val="18"/>
    </w:rPr>
  </w:style>
  <w:style w:type="paragraph" w:styleId="Verzeichnis6">
    <w:name w:val="toc 6"/>
    <w:basedOn w:val="Standard"/>
    <w:next w:val="Standard"/>
    <w:autoRedefine/>
    <w:uiPriority w:val="39"/>
    <w:semiHidden/>
    <w:unhideWhenUsed/>
    <w:rsid w:val="00F25896"/>
    <w:pPr>
      <w:spacing w:before="0" w:after="0"/>
      <w:ind w:left="1100"/>
      <w:jc w:val="left"/>
    </w:pPr>
    <w:rPr>
      <w:rFonts w:asciiTheme="minorHAnsi" w:hAnsiTheme="minorHAnsi"/>
      <w:sz w:val="18"/>
      <w:szCs w:val="18"/>
    </w:rPr>
  </w:style>
  <w:style w:type="paragraph" w:styleId="Verzeichnis7">
    <w:name w:val="toc 7"/>
    <w:basedOn w:val="Standard"/>
    <w:next w:val="Standard"/>
    <w:autoRedefine/>
    <w:uiPriority w:val="39"/>
    <w:semiHidden/>
    <w:unhideWhenUsed/>
    <w:rsid w:val="00F25896"/>
    <w:pPr>
      <w:spacing w:before="0" w:after="0"/>
      <w:ind w:left="1320"/>
      <w:jc w:val="left"/>
    </w:pPr>
    <w:rPr>
      <w:rFonts w:asciiTheme="minorHAnsi" w:hAnsiTheme="minorHAnsi"/>
      <w:sz w:val="18"/>
      <w:szCs w:val="18"/>
    </w:rPr>
  </w:style>
  <w:style w:type="paragraph" w:styleId="Verzeichnis8">
    <w:name w:val="toc 8"/>
    <w:basedOn w:val="Standard"/>
    <w:next w:val="Standard"/>
    <w:autoRedefine/>
    <w:uiPriority w:val="39"/>
    <w:semiHidden/>
    <w:unhideWhenUsed/>
    <w:rsid w:val="00F25896"/>
    <w:pPr>
      <w:spacing w:before="0" w:after="0"/>
      <w:ind w:left="1540"/>
      <w:jc w:val="left"/>
    </w:pPr>
    <w:rPr>
      <w:rFonts w:asciiTheme="minorHAnsi" w:hAnsiTheme="minorHAnsi"/>
      <w:sz w:val="18"/>
      <w:szCs w:val="18"/>
    </w:rPr>
  </w:style>
  <w:style w:type="paragraph" w:styleId="Verzeichnis9">
    <w:name w:val="toc 9"/>
    <w:basedOn w:val="Standard"/>
    <w:next w:val="Standard"/>
    <w:autoRedefine/>
    <w:uiPriority w:val="39"/>
    <w:semiHidden/>
    <w:unhideWhenUsed/>
    <w:rsid w:val="00F25896"/>
    <w:pPr>
      <w:spacing w:before="0" w:after="0"/>
      <w:ind w:left="1760"/>
      <w:jc w:val="left"/>
    </w:pPr>
    <w:rPr>
      <w:rFonts w:asciiTheme="minorHAnsi" w:hAnsiTheme="minorHAnsi"/>
      <w:sz w:val="18"/>
      <w:szCs w:val="18"/>
    </w:rPr>
  </w:style>
  <w:style w:type="character" w:styleId="BesuchterLink">
    <w:name w:val="FollowedHyperlink"/>
    <w:basedOn w:val="Absatz-Standardschriftart"/>
    <w:uiPriority w:val="99"/>
    <w:semiHidden/>
    <w:unhideWhenUsed/>
    <w:rsid w:val="003A0A87"/>
    <w:rPr>
      <w:color w:val="96607D" w:themeColor="followedHyperlink"/>
      <w:u w:val="single"/>
    </w:rPr>
  </w:style>
  <w:style w:type="character" w:styleId="NichtaufgelsteErwhnung">
    <w:name w:val="Unresolved Mention"/>
    <w:basedOn w:val="Absatz-Standardschriftart"/>
    <w:uiPriority w:val="99"/>
    <w:semiHidden/>
    <w:unhideWhenUsed/>
    <w:rsid w:val="000842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poi3.358" TargetMode="External"/><Relationship Id="rId13" Type="http://schemas.openxmlformats.org/officeDocument/2006/relationships/hyperlink" Target="https://doi.org/10.1109/ACCESS.2023.3262138" TargetMode="External"/><Relationship Id="rId18" Type="http://schemas.openxmlformats.org/officeDocument/2006/relationships/hyperlink" Target="https://doi.org/10.36910/6775-2524-0560-2025-58-14" TargetMode="External"/><Relationship Id="rId26" Type="http://schemas.openxmlformats.org/officeDocument/2006/relationships/hyperlink" Target="https://doi.org/10.48550/ARXIV.2504.15585" TargetMode="External"/><Relationship Id="rId3" Type="http://schemas.openxmlformats.org/officeDocument/2006/relationships/styles" Target="styles.xml"/><Relationship Id="rId21" Type="http://schemas.openxmlformats.org/officeDocument/2006/relationships/hyperlink" Target="https://doi.org/10.1007/s10664-025-10645-x" TargetMode="External"/><Relationship Id="rId7" Type="http://schemas.openxmlformats.org/officeDocument/2006/relationships/endnotes" Target="endnotes.xml"/><Relationship Id="rId12" Type="http://schemas.openxmlformats.org/officeDocument/2006/relationships/hyperlink" Target="https://doi.org/10.7753/IJCATR1407.1001" TargetMode="External"/><Relationship Id="rId17" Type="http://schemas.openxmlformats.org/officeDocument/2006/relationships/hyperlink" Target="https://doi.org/10.2753/MIS0742-1222240302" TargetMode="External"/><Relationship Id="rId25" Type="http://schemas.openxmlformats.org/officeDocument/2006/relationships/hyperlink" Target="https://doi.org/10.1007/s12525-019-00358-7" TargetMode="External"/><Relationship Id="rId2" Type="http://schemas.openxmlformats.org/officeDocument/2006/relationships/numbering" Target="numbering.xml"/><Relationship Id="rId16" Type="http://schemas.openxmlformats.org/officeDocument/2006/relationships/hyperlink" Target="https://doi.org/10.3390/info16020087" TargetMode="External"/><Relationship Id="rId20" Type="http://schemas.openxmlformats.org/officeDocument/2006/relationships/hyperlink" Target="https://doi.org/10.15223/policy-029"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307/25148625" TargetMode="External"/><Relationship Id="rId24" Type="http://schemas.openxmlformats.org/officeDocument/2006/relationships/hyperlink" Target="https://doi.org/10.1109/MS.2024.3477014" TargetMode="External"/><Relationship Id="rId5" Type="http://schemas.openxmlformats.org/officeDocument/2006/relationships/webSettings" Target="webSettings.xml"/><Relationship Id="rId15" Type="http://schemas.openxmlformats.org/officeDocument/2006/relationships/hyperlink" Target="https://doi.org/10.1016/j.clsr.2024.106066" TargetMode="External"/><Relationship Id="rId23" Type="http://schemas.openxmlformats.org/officeDocument/2006/relationships/hyperlink" Target="https://doi.org/10.1093/polsoc/puaf001" TargetMode="External"/><Relationship Id="rId28" Type="http://schemas.openxmlformats.org/officeDocument/2006/relationships/footer" Target="footer1.xml"/><Relationship Id="rId10" Type="http://schemas.openxmlformats.org/officeDocument/2006/relationships/hyperlink" Target="https://eur-lex.europa.eu/eli/reg/2024/1689/oj" TargetMode="External"/><Relationship Id="rId19" Type="http://schemas.openxmlformats.org/officeDocument/2006/relationships/hyperlink" Target="https://doi.org/10.1002/smr.70029"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016/j.inffus.2023.101896" TargetMode="External"/><Relationship Id="rId14" Type="http://schemas.openxmlformats.org/officeDocument/2006/relationships/hyperlink" Target="https://doi.org/10.1016/0167-9236(94)00041-2" TargetMode="External"/><Relationship Id="rId22" Type="http://schemas.openxmlformats.org/officeDocument/2006/relationships/hyperlink" Target="https://doi.org/10.1109/CAI64502.2025.00118" TargetMode="External"/><Relationship Id="rId27" Type="http://schemas.openxmlformats.org/officeDocument/2006/relationships/hyperlink" Target="https://doi.org/10.48550/ARXIV.2506.03401" TargetMode="External"/><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29CE7-D1AA-2C46-BEBE-8B1DB7D4D555}">
  <ds:schemaRefs>
    <ds:schemaRef ds:uri="http://schemas.openxmlformats.org/officeDocument/2006/bibliography"/>
  </ds:schemaRefs>
</ds:datastoreItem>
</file>

<file path=docMetadata/LabelInfo.xml><?xml version="1.0" encoding="utf-8"?>
<clbl:labelList xmlns:clbl="http://schemas.microsoft.com/office/2020/mipLabelMetadata">
  <clbl:label id="{14dc4628-c895-4371-8581-ad405e260836}" enabled="0" method="" siteId="{14dc4628-c895-4371-8581-ad405e26083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15</Pages>
  <Words>11347</Words>
  <Characters>71491</Characters>
  <Application>Microsoft Office Word</Application>
  <DocSecurity>0</DocSecurity>
  <Lines>595</Lines>
  <Paragraphs>165</Paragraphs>
  <ScaleCrop>false</ScaleCrop>
  <Company/>
  <LinksUpToDate>false</LinksUpToDate>
  <CharactersWithSpaces>82673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Demir, Mustafa (SRH Fernhochschule Student)</dc:creator>
  <cp:keywords/>
  <dc:description/>
  <cp:lastModifiedBy>Demir, Mustafa (SRH Fernhochschule Student)</cp:lastModifiedBy>
  <cp:revision>2</cp:revision>
  <cp:lastPrinted>2026-02-20T22:06:00Z</cp:lastPrinted>
  <dcterms:created xsi:type="dcterms:W3CDTF">2026-02-24T21:24:00Z</dcterms:created>
  <dcterms:modified xsi:type="dcterms:W3CDTF">2026-02-24T21:24:00Z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id="xM8ABvuB"/&gt;&lt;style id="http://www.zotero.org/styles/apa" locale="de-DE"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