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A218" w14:textId="77777777" w:rsidR="00BF7CB4" w:rsidRDefault="00000000">
      <w:pPr>
        <w:pStyle w:val="berschrift1"/>
      </w:pPr>
      <w:r>
        <w:t>3 Forschungsdesign und Methodik</w:t>
      </w:r>
    </w:p>
    <w:p w14:paraId="68B3A219" w14:textId="77777777" w:rsidR="00BF7CB4" w:rsidRDefault="00000000">
      <w:pPr>
        <w:pStyle w:val="berschrift2"/>
      </w:pPr>
      <w:r>
        <w:t>3.1 Design Science Research als Forschungsrahmen</w:t>
      </w:r>
    </w:p>
    <w:p w14:paraId="68B3A21A" w14:textId="77777777" w:rsidR="00BF7CB4" w:rsidRDefault="00000000">
      <w:pPr>
        <w:spacing w:after="200"/>
        <w:jc w:val="both"/>
      </w:pPr>
      <w:r>
        <w:t>Die Forschung in der Wirtschaftsinformatik wird durch zwei komplementäre Paradigmen geprägt: die verhaltenswissenschaftliche Forschung (</w:t>
      </w:r>
      <w:r>
        <w:rPr>
          <w:i/>
          <w:iCs/>
        </w:rPr>
        <w:t>Behavioral Science</w:t>
      </w:r>
      <w:r>
        <w:t>) und die gestaltungsorientierte Forschung (</w:t>
      </w:r>
      <w:r>
        <w:rPr>
          <w:i/>
          <w:iCs/>
        </w:rPr>
        <w:t>Design Science</w:t>
      </w:r>
      <w:r>
        <w:t>) (</w:t>
      </w:r>
      <w:proofErr w:type="spellStart"/>
      <w:r>
        <w:t>Hevner</w:t>
      </w:r>
      <w:proofErr w:type="spellEnd"/>
      <w:r>
        <w:t xml:space="preserve"> et al., 2004, S. 75). Während das verhaltenswissenschaftliche Paradigma auf die Entwicklung und empirische Überprüfung von Theorien abzielt, die menschliches oder organisationales Verhalten erklären oder vorhersagen, verfolgt Design Science Research (DSR) das Ziel, die Grenzen menschlicher und organisationaler Leistungsfähigkeit durch die Schaffung innovativer Artefakte zu erweitern (</w:t>
      </w:r>
      <w:proofErr w:type="spellStart"/>
      <w:r>
        <w:t>Hevner</w:t>
      </w:r>
      <w:proofErr w:type="spellEnd"/>
      <w:r>
        <w:t xml:space="preserve"> et al., 2004, S. 75).</w:t>
      </w:r>
    </w:p>
    <w:p w14:paraId="68B3A21B" w14:textId="77777777" w:rsidR="00BF7CB4" w:rsidRDefault="00000000">
      <w:pPr>
        <w:spacing w:after="200"/>
        <w:jc w:val="both"/>
      </w:pPr>
      <w:r>
        <w:t>Das Erkenntnisziel dieser beiden Paradigmen unterscheidet sich fundamental: Behavioral Science strebt nach Wahrheit (</w:t>
      </w:r>
      <w:proofErr w:type="spellStart"/>
      <w:r>
        <w:rPr>
          <w:i/>
          <w:iCs/>
        </w:rPr>
        <w:t>truth</w:t>
      </w:r>
      <w:proofErr w:type="spellEnd"/>
      <w:r>
        <w:t>), Design Science nach Nützlichkeit (</w:t>
      </w:r>
      <w:proofErr w:type="spellStart"/>
      <w:r>
        <w:rPr>
          <w:i/>
          <w:iCs/>
        </w:rPr>
        <w:t>utility</w:t>
      </w:r>
      <w:proofErr w:type="spellEnd"/>
      <w:r>
        <w:t>) (</w:t>
      </w:r>
      <w:proofErr w:type="spellStart"/>
      <w:r>
        <w:t>Hevner</w:t>
      </w:r>
      <w:proofErr w:type="spellEnd"/>
      <w:r>
        <w:t xml:space="preserve"> et al., 2004, S. 76). Diese Unterscheidung ist für die vorliegende Arbeit entscheidend, da das identifizierte Forschungsproblem – die fehlende technische Operationalisierung normativer Anforderungen in </w:t>
      </w:r>
      <w:proofErr w:type="spellStart"/>
      <w:r>
        <w:t>GenAI</w:t>
      </w:r>
      <w:proofErr w:type="spellEnd"/>
      <w:r>
        <w:t xml:space="preserve">-Systemen – nicht primär durch die Überprüfung bestehender Theorien, sondern durch die Konstruktion eines neuartigen Artefakts adressiert wird. Die drei Problemdimensionen (PD1: Fragmentierung bestehender Ansätze, PD2: </w:t>
      </w:r>
      <w:proofErr w:type="spellStart"/>
      <w:r>
        <w:t>Inadäquanz</w:t>
      </w:r>
      <w:proofErr w:type="spellEnd"/>
      <w:r>
        <w:t xml:space="preserve"> konventioneller QA-Mechanismen für generative KI, PD3: </w:t>
      </w:r>
      <w:proofErr w:type="spellStart"/>
      <w:r>
        <w:t>Operationalisierungslücke</w:t>
      </w:r>
      <w:proofErr w:type="spellEnd"/>
      <w:r>
        <w:t xml:space="preserve"> zwischen regulatorischen Anforderungen und technischer Umsetzung) konstituieren ein Gestaltungsproblem, das nach dem DSR-Paradigma bearbeitet wird.</w:t>
      </w:r>
    </w:p>
    <w:p w14:paraId="68B3A21C" w14:textId="77777777" w:rsidR="00BF7CB4" w:rsidRDefault="00000000">
      <w:pPr>
        <w:spacing w:after="200"/>
        <w:jc w:val="both"/>
      </w:pPr>
      <w:proofErr w:type="spellStart"/>
      <w:r>
        <w:t>Hevner</w:t>
      </w:r>
      <w:proofErr w:type="spellEnd"/>
      <w:r>
        <w:t xml:space="preserve"> et al. (2004, S. 77) definieren IT-Artefakte als Konstrukte (Vokabular und Symbole), Modelle (Abstraktionen und Repräsentationen), Methoden (Algorithmen und Praktiken) sowie Instanziierungen (implementierte und prototypische Systeme). Das in dieser Arbeit entwickelte Artefakt – eine Referenzarchitektur für </w:t>
      </w:r>
      <w:proofErr w:type="spellStart"/>
      <w:r>
        <w:t>GenAIOps</w:t>
      </w:r>
      <w:proofErr w:type="spellEnd"/>
      <w:r>
        <w:t xml:space="preserve"> mit integriertem Quality-Gate-Kontrollsystem – vereint mehrere dieser </w:t>
      </w:r>
      <w:proofErr w:type="spellStart"/>
      <w:r>
        <w:t>Artefakttypen</w:t>
      </w:r>
      <w:proofErr w:type="spellEnd"/>
      <w:r>
        <w:t xml:space="preserve">: Es umfasst ein Modell (die architekturelle Struktur), eine Methode (die Gate-Systematik mit </w:t>
      </w:r>
      <w:proofErr w:type="spellStart"/>
      <w:r>
        <w:t>Traceability</w:t>
      </w:r>
      <w:proofErr w:type="spellEnd"/>
      <w:r>
        <w:t xml:space="preserve">-Mechanismen) und eine Instanziierung (den Azure-basierten Proof </w:t>
      </w:r>
      <w:proofErr w:type="spellStart"/>
      <w:r>
        <w:t>of</w:t>
      </w:r>
      <w:proofErr w:type="spellEnd"/>
      <w:r>
        <w:t xml:space="preserve"> Concept). Diese Mehrfachklassifikation spiegelt die Komplexität des Forschungsgegenstands wider und entspricht der von </w:t>
      </w:r>
      <w:proofErr w:type="spellStart"/>
      <w:r>
        <w:t>Hevner</w:t>
      </w:r>
      <w:proofErr w:type="spellEnd"/>
      <w:r>
        <w:t xml:space="preserve"> et al. (2004, S. 78) beschriebenen Praxis, dass DSR-Artefakte häufig Elemente verschiedener Typen integrieren.</w:t>
      </w:r>
    </w:p>
    <w:p w14:paraId="68B3A21D" w14:textId="77777777" w:rsidR="00BF7CB4" w:rsidRDefault="00000000">
      <w:pPr>
        <w:spacing w:after="200"/>
        <w:jc w:val="both"/>
      </w:pPr>
      <w:r>
        <w:lastRenderedPageBreak/>
        <w:t xml:space="preserve">Die Wahl von DSR als Forschungsparadigma wird durch den Charakter des Forschungsbeitrags zusätzlich gestützt. Die vorliegende Arbeit zielt nicht auf eine radikale Neuerfindung, sondern auf eine formalisierte Integration: Bestehende Mechanismen aus den Domänen </w:t>
      </w:r>
      <w:proofErr w:type="spellStart"/>
      <w:r>
        <w:t>MLOps</w:t>
      </w:r>
      <w:proofErr w:type="spellEnd"/>
      <w:r>
        <w:t>, Policy-</w:t>
      </w:r>
      <w:proofErr w:type="spellStart"/>
      <w:r>
        <w:t>as</w:t>
      </w:r>
      <w:proofErr w:type="spellEnd"/>
      <w:r>
        <w:t xml:space="preserve">-Code und Compliance-Management werden rekonfiguriert, formalisiert und für den spezifischen Kontext hochriskanter generativer KI-Systeme kontextualisiert. Dieser Beitragstypus entspricht dem von </w:t>
      </w:r>
      <w:proofErr w:type="spellStart"/>
      <w:r>
        <w:t>Hevner</w:t>
      </w:r>
      <w:proofErr w:type="spellEnd"/>
      <w:r>
        <w:t xml:space="preserve"> et al. (2004, S. 80) beschriebenen Zusammenspiel von Relevanz- und Rigor-Zyklus, in dem Wissen aus der Wissensbasis (</w:t>
      </w:r>
      <w:proofErr w:type="spellStart"/>
      <w:r>
        <w:rPr>
          <w:i/>
          <w:iCs/>
        </w:rPr>
        <w:t>knowledge</w:t>
      </w:r>
      <w:proofErr w:type="spellEnd"/>
      <w:r>
        <w:rPr>
          <w:i/>
          <w:iCs/>
        </w:rPr>
        <w:t xml:space="preserve"> </w:t>
      </w:r>
      <w:proofErr w:type="spellStart"/>
      <w:r>
        <w:rPr>
          <w:i/>
          <w:iCs/>
        </w:rPr>
        <w:t>base</w:t>
      </w:r>
      <w:proofErr w:type="spellEnd"/>
      <w:r>
        <w:t>) auf ein relevantes Praxisproblem angewendet wird.</w:t>
      </w:r>
    </w:p>
    <w:p w14:paraId="68B3A21E" w14:textId="77777777" w:rsidR="00BF7CB4" w:rsidRDefault="00000000">
      <w:pPr>
        <w:spacing w:after="200"/>
        <w:jc w:val="both"/>
      </w:pPr>
      <w:r>
        <w:t xml:space="preserve">Zur Sicherstellung methodischer Qualität formulieren </w:t>
      </w:r>
      <w:proofErr w:type="spellStart"/>
      <w:r>
        <w:t>Hevner</w:t>
      </w:r>
      <w:proofErr w:type="spellEnd"/>
      <w:r>
        <w:t xml:space="preserve"> et al. (2004, S. 83) sieben Richtlinien für Design Science Research. Tabelle 1 zeigt die Richtlinien und ihre konkrete Umsetzung in dieser Arbeit.</w:t>
      </w:r>
    </w:p>
    <w:p w14:paraId="68B3A21F" w14:textId="77777777" w:rsidR="00BF7CB4" w:rsidRDefault="00000000">
      <w:pPr>
        <w:spacing w:before="120" w:after="240"/>
      </w:pPr>
      <w:r>
        <w:rPr>
          <w:i/>
          <w:iCs/>
          <w:sz w:val="22"/>
          <w:szCs w:val="22"/>
        </w:rPr>
        <w:t xml:space="preserve">Tabelle 1: </w:t>
      </w:r>
      <w:proofErr w:type="spellStart"/>
      <w:r>
        <w:rPr>
          <w:i/>
          <w:iCs/>
          <w:sz w:val="22"/>
          <w:szCs w:val="22"/>
        </w:rPr>
        <w:t>Hevner</w:t>
      </w:r>
      <w:proofErr w:type="spellEnd"/>
      <w:r>
        <w:rPr>
          <w:i/>
          <w:iCs/>
          <w:sz w:val="22"/>
          <w:szCs w:val="22"/>
        </w:rPr>
        <w:t xml:space="preserve">-Richtlinien und ihre Umsetzung in dieser Arbeit (nach </w:t>
      </w:r>
      <w:proofErr w:type="spellStart"/>
      <w:r>
        <w:rPr>
          <w:i/>
          <w:iCs/>
          <w:sz w:val="22"/>
          <w:szCs w:val="22"/>
        </w:rPr>
        <w:t>Hevner</w:t>
      </w:r>
      <w:proofErr w:type="spellEnd"/>
      <w:r>
        <w:rPr>
          <w:i/>
          <w:iCs/>
          <w:sz w:val="22"/>
          <w:szCs w:val="22"/>
        </w:rPr>
        <w:t xml:space="preserve"> et al., 2004, S. 83)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70"/>
      </w:tblGrid>
      <w:tr w:rsidR="00BF7CB4" w14:paraId="68B3A22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20" w14:textId="77777777" w:rsidR="00BF7CB4" w:rsidRDefault="00000000">
            <w:pPr>
              <w:spacing w:line="240" w:lineRule="auto"/>
            </w:pPr>
            <w:r>
              <w:rPr>
                <w:b/>
                <w:bCs/>
                <w:sz w:val="20"/>
                <w:szCs w:val="20"/>
              </w:rPr>
              <w:t>Richtlinie</w:t>
            </w:r>
          </w:p>
        </w:tc>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21" w14:textId="77777777" w:rsidR="00BF7CB4" w:rsidRDefault="00000000">
            <w:pPr>
              <w:spacing w:line="240" w:lineRule="auto"/>
            </w:pPr>
            <w:r>
              <w:rPr>
                <w:b/>
                <w:bCs/>
                <w:sz w:val="20"/>
                <w:szCs w:val="20"/>
              </w:rPr>
              <w:t>Beschreibung</w:t>
            </w:r>
          </w:p>
        </w:tc>
        <w:tc>
          <w:tcPr>
            <w:tcW w:w="40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22" w14:textId="77777777" w:rsidR="00BF7CB4" w:rsidRDefault="00000000">
            <w:pPr>
              <w:spacing w:line="240" w:lineRule="auto"/>
            </w:pPr>
            <w:r>
              <w:rPr>
                <w:b/>
                <w:bCs/>
                <w:sz w:val="20"/>
                <w:szCs w:val="20"/>
              </w:rPr>
              <w:t>Umsetzung in dieser Arbeit</w:t>
            </w:r>
          </w:p>
        </w:tc>
      </w:tr>
      <w:tr w:rsidR="00BF7CB4" w14:paraId="68B3A22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4" w14:textId="77777777" w:rsidR="00BF7CB4" w:rsidRDefault="00000000">
            <w:pPr>
              <w:spacing w:line="240" w:lineRule="auto"/>
            </w:pPr>
            <w:r>
              <w:rPr>
                <w:sz w:val="20"/>
                <w:szCs w:val="20"/>
              </w:rPr>
              <w:t xml:space="preserve">G1: Design </w:t>
            </w:r>
            <w:proofErr w:type="spellStart"/>
            <w:r>
              <w:rPr>
                <w:sz w:val="20"/>
                <w:szCs w:val="20"/>
              </w:rPr>
              <w:t>as</w:t>
            </w:r>
            <w:proofErr w:type="spellEnd"/>
            <w:r>
              <w:rPr>
                <w:sz w:val="20"/>
                <w:szCs w:val="20"/>
              </w:rPr>
              <w:t xml:space="preserve"> an </w:t>
            </w:r>
            <w:proofErr w:type="spellStart"/>
            <w:r>
              <w:rPr>
                <w:sz w:val="20"/>
                <w:szCs w:val="20"/>
              </w:rPr>
              <w:t>Artifact</w:t>
            </w:r>
            <w:proofErr w:type="spellEnd"/>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5" w14:textId="77777777" w:rsidR="00BF7CB4" w:rsidRDefault="00000000">
            <w:pPr>
              <w:spacing w:line="240" w:lineRule="auto"/>
            </w:pPr>
            <w:r>
              <w:rPr>
                <w:sz w:val="20"/>
                <w:szCs w:val="20"/>
              </w:rPr>
              <w:t>DSR muss ein tragfähiges Artefakt hervorbringen</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6" w14:textId="77777777" w:rsidR="00BF7CB4" w:rsidRDefault="00000000">
            <w:pPr>
              <w:spacing w:line="240" w:lineRule="auto"/>
            </w:pPr>
            <w:r>
              <w:rPr>
                <w:sz w:val="20"/>
                <w:szCs w:val="20"/>
              </w:rPr>
              <w:t>Referenzarchitektur (Primärartefakt) mit integriertem Quality-Gate-Kontrollsystem; Azure PoC als Instanziierung</w:t>
            </w:r>
          </w:p>
        </w:tc>
      </w:tr>
      <w:tr w:rsidR="00BF7CB4" w14:paraId="68B3A22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8" w14:textId="77777777" w:rsidR="00BF7CB4" w:rsidRDefault="00000000">
            <w:pPr>
              <w:spacing w:line="240" w:lineRule="auto"/>
            </w:pPr>
            <w:r>
              <w:rPr>
                <w:sz w:val="20"/>
                <w:szCs w:val="20"/>
              </w:rPr>
              <w:t xml:space="preserve">G2: Problem </w:t>
            </w:r>
            <w:proofErr w:type="spellStart"/>
            <w:r>
              <w:rPr>
                <w:sz w:val="20"/>
                <w:szCs w:val="20"/>
              </w:rPr>
              <w:t>Relevance</w:t>
            </w:r>
            <w:proofErr w:type="spellEnd"/>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9" w14:textId="77777777" w:rsidR="00BF7CB4" w:rsidRDefault="00000000">
            <w:pPr>
              <w:spacing w:line="240" w:lineRule="auto"/>
            </w:pPr>
            <w:r>
              <w:rPr>
                <w:sz w:val="20"/>
                <w:szCs w:val="20"/>
              </w:rPr>
              <w:t>Lösung eines relevanten Geschäftsproblems</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A" w14:textId="77777777" w:rsidR="00BF7CB4" w:rsidRDefault="00000000">
            <w:pPr>
              <w:spacing w:line="240" w:lineRule="auto"/>
            </w:pPr>
            <w:r>
              <w:rPr>
                <w:sz w:val="20"/>
                <w:szCs w:val="20"/>
              </w:rPr>
              <w:t xml:space="preserve">PD1–PD3: </w:t>
            </w:r>
            <w:proofErr w:type="spellStart"/>
            <w:r>
              <w:rPr>
                <w:sz w:val="20"/>
                <w:szCs w:val="20"/>
              </w:rPr>
              <w:t>Governance</w:t>
            </w:r>
            <w:proofErr w:type="spellEnd"/>
            <w:r>
              <w:rPr>
                <w:sz w:val="20"/>
                <w:szCs w:val="20"/>
              </w:rPr>
              <w:t xml:space="preserve">-Lücke bei </w:t>
            </w:r>
            <w:proofErr w:type="spellStart"/>
            <w:r>
              <w:rPr>
                <w:sz w:val="20"/>
                <w:szCs w:val="20"/>
              </w:rPr>
              <w:t>GenAI</w:t>
            </w:r>
            <w:proofErr w:type="spellEnd"/>
            <w:r>
              <w:rPr>
                <w:sz w:val="20"/>
                <w:szCs w:val="20"/>
              </w:rPr>
              <w:t>-Operationalisierung (Kap. 1, 4)</w:t>
            </w:r>
          </w:p>
        </w:tc>
      </w:tr>
      <w:tr w:rsidR="00BF7CB4" w14:paraId="68B3A22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C" w14:textId="77777777" w:rsidR="00BF7CB4" w:rsidRDefault="00000000">
            <w:pPr>
              <w:spacing w:line="240" w:lineRule="auto"/>
            </w:pPr>
            <w:r>
              <w:rPr>
                <w:sz w:val="20"/>
                <w:szCs w:val="20"/>
              </w:rPr>
              <w:t>G3: Design Evaluation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D" w14:textId="77777777" w:rsidR="00BF7CB4" w:rsidRDefault="00000000">
            <w:pPr>
              <w:spacing w:line="240" w:lineRule="auto"/>
            </w:pPr>
            <w:r>
              <w:rPr>
                <w:sz w:val="20"/>
                <w:szCs w:val="20"/>
              </w:rPr>
              <w:t>Rigorose Evaluation von Nutzen und Qualität</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2E" w14:textId="77777777" w:rsidR="00BF7CB4" w:rsidRDefault="00000000">
            <w:pPr>
              <w:spacing w:line="240" w:lineRule="auto"/>
            </w:pPr>
            <w:r>
              <w:rPr>
                <w:sz w:val="20"/>
                <w:szCs w:val="20"/>
              </w:rPr>
              <w:t>Dreistufig: Coverage-Matrix, PoC-Walkthrough, Expert-Reviews (Kap. 6)</w:t>
            </w:r>
          </w:p>
        </w:tc>
      </w:tr>
      <w:tr w:rsidR="00BF7CB4" w14:paraId="68B3A23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0" w14:textId="77777777" w:rsidR="00BF7CB4" w:rsidRDefault="00000000">
            <w:pPr>
              <w:spacing w:line="240" w:lineRule="auto"/>
            </w:pPr>
            <w:r>
              <w:rPr>
                <w:sz w:val="20"/>
                <w:szCs w:val="20"/>
              </w:rPr>
              <w:t xml:space="preserve">G4: Research </w:t>
            </w:r>
            <w:proofErr w:type="spellStart"/>
            <w:r>
              <w:rPr>
                <w:sz w:val="20"/>
                <w:szCs w:val="20"/>
              </w:rPr>
              <w:t>Contributions</w:t>
            </w:r>
            <w:proofErr w:type="spellEnd"/>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1" w14:textId="77777777" w:rsidR="00BF7CB4" w:rsidRDefault="00000000">
            <w:pPr>
              <w:spacing w:line="240" w:lineRule="auto"/>
            </w:pPr>
            <w:r>
              <w:rPr>
                <w:sz w:val="20"/>
                <w:szCs w:val="20"/>
              </w:rPr>
              <w:t>Klarer Beitrag zu Artefakt, Foundations oder Methodologie</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2" w14:textId="77777777" w:rsidR="00BF7CB4" w:rsidRDefault="00000000">
            <w:pPr>
              <w:spacing w:line="240" w:lineRule="auto"/>
            </w:pPr>
            <w:r>
              <w:rPr>
                <w:sz w:val="20"/>
                <w:szCs w:val="20"/>
              </w:rPr>
              <w:t>Formalisierte Integration: Rekonfiguration + Formalisierung + Kontextualisierung (Kap. 7)</w:t>
            </w:r>
          </w:p>
        </w:tc>
      </w:tr>
      <w:tr w:rsidR="00BF7CB4" w14:paraId="68B3A23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4" w14:textId="77777777" w:rsidR="00BF7CB4" w:rsidRDefault="00000000">
            <w:pPr>
              <w:spacing w:line="240" w:lineRule="auto"/>
            </w:pPr>
            <w:r>
              <w:rPr>
                <w:sz w:val="20"/>
                <w:szCs w:val="20"/>
              </w:rPr>
              <w:t>G5: Research Rigor</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5" w14:textId="77777777" w:rsidR="00BF7CB4" w:rsidRDefault="00000000">
            <w:pPr>
              <w:spacing w:line="240" w:lineRule="auto"/>
            </w:pPr>
            <w:r>
              <w:rPr>
                <w:sz w:val="20"/>
                <w:szCs w:val="20"/>
              </w:rPr>
              <w:t>Rigorose Konstruktions- und Evaluationsmethoden</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6" w14:textId="77777777" w:rsidR="00BF7CB4" w:rsidRDefault="00000000">
            <w:pPr>
              <w:spacing w:line="240" w:lineRule="auto"/>
            </w:pPr>
            <w:r>
              <w:rPr>
                <w:sz w:val="20"/>
                <w:szCs w:val="20"/>
              </w:rPr>
              <w:t xml:space="preserve">Kombination </w:t>
            </w:r>
            <w:proofErr w:type="spellStart"/>
            <w:r>
              <w:rPr>
                <w:sz w:val="20"/>
                <w:szCs w:val="20"/>
              </w:rPr>
              <w:t>Hevner</w:t>
            </w:r>
            <w:proofErr w:type="spellEnd"/>
            <w:r>
              <w:rPr>
                <w:sz w:val="20"/>
                <w:szCs w:val="20"/>
              </w:rPr>
              <w:t>/</w:t>
            </w:r>
            <w:proofErr w:type="spellStart"/>
            <w:r>
              <w:rPr>
                <w:sz w:val="20"/>
                <w:szCs w:val="20"/>
              </w:rPr>
              <w:t>Peffers</w:t>
            </w:r>
            <w:proofErr w:type="spellEnd"/>
            <w:r>
              <w:rPr>
                <w:sz w:val="20"/>
                <w:szCs w:val="20"/>
              </w:rPr>
              <w:t>/vom Brocke + Expert-Reviews (n ≥ 3)</w:t>
            </w:r>
          </w:p>
        </w:tc>
      </w:tr>
      <w:tr w:rsidR="00BF7CB4" w14:paraId="68B3A23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8" w14:textId="77777777" w:rsidR="00BF7CB4" w:rsidRDefault="00000000">
            <w:pPr>
              <w:spacing w:line="240" w:lineRule="auto"/>
            </w:pPr>
            <w:r>
              <w:rPr>
                <w:sz w:val="20"/>
                <w:szCs w:val="20"/>
              </w:rPr>
              <w:t xml:space="preserve">G6: Design </w:t>
            </w:r>
            <w:proofErr w:type="spellStart"/>
            <w:r>
              <w:rPr>
                <w:sz w:val="20"/>
                <w:szCs w:val="20"/>
              </w:rPr>
              <w:t>as</w:t>
            </w:r>
            <w:proofErr w:type="spellEnd"/>
            <w:r>
              <w:rPr>
                <w:sz w:val="20"/>
                <w:szCs w:val="20"/>
              </w:rPr>
              <w:t xml:space="preserve"> a Search </w:t>
            </w:r>
            <w:proofErr w:type="spellStart"/>
            <w:r>
              <w:rPr>
                <w:sz w:val="20"/>
                <w:szCs w:val="20"/>
              </w:rPr>
              <w:t>Process</w:t>
            </w:r>
            <w:proofErr w:type="spellEnd"/>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9" w14:textId="77777777" w:rsidR="00BF7CB4" w:rsidRDefault="00000000">
            <w:pPr>
              <w:spacing w:line="240" w:lineRule="auto"/>
            </w:pPr>
            <w:r>
              <w:rPr>
                <w:sz w:val="20"/>
                <w:szCs w:val="20"/>
              </w:rPr>
              <w:t>Iterative Suche nach effektiven Artefakten</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A" w14:textId="77777777" w:rsidR="00BF7CB4" w:rsidRDefault="00000000">
            <w:pPr>
              <w:spacing w:line="240" w:lineRule="auto"/>
            </w:pPr>
            <w:r>
              <w:rPr>
                <w:sz w:val="20"/>
                <w:szCs w:val="20"/>
              </w:rPr>
              <w:t xml:space="preserve">Zwei Iterationen: </w:t>
            </w:r>
            <w:proofErr w:type="spellStart"/>
            <w:r>
              <w:rPr>
                <w:sz w:val="20"/>
                <w:szCs w:val="20"/>
              </w:rPr>
              <w:t>Iter</w:t>
            </w:r>
            <w:proofErr w:type="spellEnd"/>
            <w:r>
              <w:rPr>
                <w:sz w:val="20"/>
                <w:szCs w:val="20"/>
              </w:rPr>
              <w:t xml:space="preserve">. 1 Konzept → </w:t>
            </w:r>
            <w:proofErr w:type="spellStart"/>
            <w:r>
              <w:rPr>
                <w:sz w:val="20"/>
                <w:szCs w:val="20"/>
              </w:rPr>
              <w:t>Iter</w:t>
            </w:r>
            <w:proofErr w:type="spellEnd"/>
            <w:r>
              <w:rPr>
                <w:sz w:val="20"/>
                <w:szCs w:val="20"/>
              </w:rPr>
              <w:t xml:space="preserve">. 2 PoC + </w:t>
            </w:r>
            <w:proofErr w:type="spellStart"/>
            <w:r>
              <w:rPr>
                <w:sz w:val="20"/>
                <w:szCs w:val="20"/>
              </w:rPr>
              <w:t>Refinement</w:t>
            </w:r>
            <w:proofErr w:type="spellEnd"/>
            <w:r>
              <w:rPr>
                <w:sz w:val="20"/>
                <w:szCs w:val="20"/>
              </w:rPr>
              <w:t xml:space="preserve"> (Kap. 5)</w:t>
            </w:r>
          </w:p>
        </w:tc>
      </w:tr>
      <w:tr w:rsidR="00BF7CB4" w14:paraId="68B3A23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C" w14:textId="77777777" w:rsidR="00BF7CB4" w:rsidRDefault="00000000">
            <w:pPr>
              <w:spacing w:line="240" w:lineRule="auto"/>
            </w:pPr>
            <w:r>
              <w:rPr>
                <w:sz w:val="20"/>
                <w:szCs w:val="20"/>
              </w:rPr>
              <w:t xml:space="preserve">G7: Communication </w:t>
            </w:r>
            <w:proofErr w:type="spellStart"/>
            <w:r>
              <w:rPr>
                <w:sz w:val="20"/>
                <w:szCs w:val="20"/>
              </w:rPr>
              <w:t>of</w:t>
            </w:r>
            <w:proofErr w:type="spellEnd"/>
            <w:r>
              <w:rPr>
                <w:sz w:val="20"/>
                <w:szCs w:val="20"/>
              </w:rPr>
              <w:t xml:space="preserve"> Research</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D" w14:textId="77777777" w:rsidR="00BF7CB4" w:rsidRDefault="00000000">
            <w:pPr>
              <w:spacing w:line="240" w:lineRule="auto"/>
            </w:pPr>
            <w:r>
              <w:rPr>
                <w:sz w:val="20"/>
                <w:szCs w:val="20"/>
              </w:rPr>
              <w:t>Zielgruppengerechte Kommunikation</w:t>
            </w:r>
          </w:p>
        </w:tc>
        <w:tc>
          <w:tcPr>
            <w:tcW w:w="4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3E" w14:textId="77777777" w:rsidR="00BF7CB4" w:rsidRDefault="00000000">
            <w:pPr>
              <w:spacing w:line="240" w:lineRule="auto"/>
            </w:pPr>
            <w:r>
              <w:rPr>
                <w:sz w:val="20"/>
                <w:szCs w:val="20"/>
              </w:rPr>
              <w:t>Architektur generisch (Management), PoC technisch (Entwicklung) (Kap. 7–8)</w:t>
            </w:r>
          </w:p>
        </w:tc>
      </w:tr>
    </w:tbl>
    <w:p w14:paraId="68B3A240" w14:textId="77777777" w:rsidR="00BF7CB4" w:rsidRDefault="00000000">
      <w:pPr>
        <w:pStyle w:val="berschrift2"/>
      </w:pPr>
      <w:r>
        <w:t>3.2 Methodischer Rahmen und Vorgehensmodell</w:t>
      </w:r>
    </w:p>
    <w:p w14:paraId="68B3A241" w14:textId="77777777" w:rsidR="00BF7CB4" w:rsidRDefault="00000000">
      <w:pPr>
        <w:spacing w:after="200"/>
        <w:jc w:val="both"/>
      </w:pPr>
      <w:r>
        <w:t xml:space="preserve">Der methodische Rahmen dieser Arbeit integriert drei etablierte DSR-Frameworks auf komplementären Abstraktionsebenen: </w:t>
      </w:r>
      <w:proofErr w:type="spellStart"/>
      <w:r>
        <w:t>Hevner</w:t>
      </w:r>
      <w:proofErr w:type="spellEnd"/>
      <w:r>
        <w:t xml:space="preserve"> et al. (2004) auf der Meta-Ebene als Qualitätsrahmen, </w:t>
      </w:r>
      <w:proofErr w:type="spellStart"/>
      <w:r>
        <w:t>Peffers</w:t>
      </w:r>
      <w:proofErr w:type="spellEnd"/>
      <w:r>
        <w:t xml:space="preserve"> et al. (2007) auf der Prozessebene als strukturgebendes Vorgehensmodell sowie vom Brocke und </w:t>
      </w:r>
      <w:proofErr w:type="spellStart"/>
      <w:r>
        <w:t>Maedche</w:t>
      </w:r>
      <w:proofErr w:type="spellEnd"/>
      <w:r>
        <w:t xml:space="preserve"> (2019) als Planungs- und Kommunikationsinstrument. Diese Kombination verbindet die Stärken der einzelnen Ansätze: </w:t>
      </w:r>
      <w:r>
        <w:lastRenderedPageBreak/>
        <w:t xml:space="preserve">die kontextgebundene Theorieanbindung </w:t>
      </w:r>
      <w:proofErr w:type="spellStart"/>
      <w:r>
        <w:t>Hevners</w:t>
      </w:r>
      <w:proofErr w:type="spellEnd"/>
      <w:r>
        <w:t xml:space="preserve"> mit der prozessualen Konkretheit von </w:t>
      </w:r>
      <w:proofErr w:type="spellStart"/>
      <w:r>
        <w:t>Peffers</w:t>
      </w:r>
      <w:proofErr w:type="spellEnd"/>
      <w:r>
        <w:t xml:space="preserve"> und der strukturierten Projektkommunikation des DSR </w:t>
      </w:r>
      <w:proofErr w:type="spellStart"/>
      <w:r>
        <w:t>Grid</w:t>
      </w:r>
      <w:proofErr w:type="spellEnd"/>
      <w:r>
        <w:t>.</w:t>
      </w:r>
    </w:p>
    <w:p w14:paraId="68B3A242" w14:textId="77777777" w:rsidR="00BF7CB4" w:rsidRDefault="00000000">
      <w:pPr>
        <w:pStyle w:val="berschrift3"/>
        <w:spacing w:before="360" w:after="240"/>
      </w:pPr>
      <w:r>
        <w:t xml:space="preserve">3.2.1 </w:t>
      </w:r>
      <w:proofErr w:type="spellStart"/>
      <w:r>
        <w:t>Hevner</w:t>
      </w:r>
      <w:proofErr w:type="spellEnd"/>
      <w:r>
        <w:t>-Zyklen als Qualitätsrahmen</w:t>
      </w:r>
    </w:p>
    <w:p w14:paraId="68B3A243" w14:textId="77777777" w:rsidR="00BF7CB4" w:rsidRDefault="00000000">
      <w:pPr>
        <w:spacing w:after="200"/>
        <w:jc w:val="both"/>
      </w:pPr>
      <w:proofErr w:type="spellStart"/>
      <w:r>
        <w:t>Hevner</w:t>
      </w:r>
      <w:proofErr w:type="spellEnd"/>
      <w:r>
        <w:t xml:space="preserve"> et al. (2004, S. 80) modellieren DSR als Zusammenspiel dreier Zyklen: Der </w:t>
      </w:r>
      <w:proofErr w:type="spellStart"/>
      <w:r>
        <w:rPr>
          <w:i/>
          <w:iCs/>
        </w:rPr>
        <w:t>Relevance</w:t>
      </w:r>
      <w:proofErr w:type="spellEnd"/>
      <w:r>
        <w:rPr>
          <w:i/>
          <w:iCs/>
        </w:rPr>
        <w:t xml:space="preserve"> Cycle</w:t>
      </w:r>
      <w:r>
        <w:t xml:space="preserve"> verbindet die Forschung mit dem Anwendungskontext (</w:t>
      </w:r>
      <w:proofErr w:type="spellStart"/>
      <w:r>
        <w:rPr>
          <w:i/>
          <w:iCs/>
        </w:rPr>
        <w:t>environment</w:t>
      </w:r>
      <w:proofErr w:type="spellEnd"/>
      <w:r>
        <w:t xml:space="preserve">) und stellt sicher, dass das Artefakt ein relevantes Praxisproblem adressiert. Der </w:t>
      </w:r>
      <w:r>
        <w:rPr>
          <w:i/>
          <w:iCs/>
        </w:rPr>
        <w:t>Rigor Cycle</w:t>
      </w:r>
      <w:r>
        <w:t xml:space="preserve"> verankert die Forschung in der Wissensbasis (</w:t>
      </w:r>
      <w:proofErr w:type="spellStart"/>
      <w:r>
        <w:rPr>
          <w:i/>
          <w:iCs/>
        </w:rPr>
        <w:t>knowledge</w:t>
      </w:r>
      <w:proofErr w:type="spellEnd"/>
      <w:r>
        <w:rPr>
          <w:i/>
          <w:iCs/>
        </w:rPr>
        <w:t xml:space="preserve"> </w:t>
      </w:r>
      <w:proofErr w:type="spellStart"/>
      <w:r>
        <w:rPr>
          <w:i/>
          <w:iCs/>
        </w:rPr>
        <w:t>base</w:t>
      </w:r>
      <w:proofErr w:type="spellEnd"/>
      <w:r>
        <w:t xml:space="preserve">) und gewährleistet den Rückgriff auf bestehende Theorien, Methoden und Erkenntnisse. Der </w:t>
      </w:r>
      <w:r>
        <w:rPr>
          <w:i/>
          <w:iCs/>
        </w:rPr>
        <w:t>Design Cycle</w:t>
      </w:r>
      <w:r>
        <w:t xml:space="preserve"> beschreibt den iterativen Kern der </w:t>
      </w:r>
      <w:proofErr w:type="spellStart"/>
      <w:r>
        <w:t>Artefaktkonstruktion</w:t>
      </w:r>
      <w:proofErr w:type="spellEnd"/>
      <w:r>
        <w:t xml:space="preserve"> und -evaluation.</w:t>
      </w:r>
    </w:p>
    <w:p w14:paraId="68B3A244" w14:textId="77777777" w:rsidR="00BF7CB4" w:rsidRDefault="00000000">
      <w:pPr>
        <w:spacing w:after="200"/>
        <w:jc w:val="both"/>
      </w:pPr>
      <w:r>
        <w:t xml:space="preserve">In der vorliegenden Arbeit manifestiert sich der </w:t>
      </w:r>
      <w:proofErr w:type="spellStart"/>
      <w:r>
        <w:t>Relevance</w:t>
      </w:r>
      <w:proofErr w:type="spellEnd"/>
      <w:r>
        <w:t xml:space="preserve"> Cycle in der Anforderungserhebung (Kap. 4), </w:t>
      </w:r>
      <w:proofErr w:type="gramStart"/>
      <w:r>
        <w:t>die normative Anforderungen</w:t>
      </w:r>
      <w:proofErr w:type="gramEnd"/>
      <w:r>
        <w:t xml:space="preserve"> aus dem EU AI Act, ISO 42001 und der Fachliteratur systematisch in einen Anforderungskatalog überführt. Der Rigor Cycle wird durch die Wissensbasis (vgl. Abschnitt 3.2.3) gespeist, die acht Domänen umfasst. Der Design Cycle wird in zwei Iterationen durchlaufen (vgl. Abschnitt 3.3).</w:t>
      </w:r>
    </w:p>
    <w:p w14:paraId="68B3A245" w14:textId="77777777" w:rsidR="00BF7CB4" w:rsidRDefault="00000000">
      <w:pPr>
        <w:pStyle w:val="berschrift3"/>
        <w:spacing w:before="360" w:after="240"/>
      </w:pPr>
      <w:r>
        <w:t xml:space="preserve">3.2.2 DSRM nach </w:t>
      </w:r>
      <w:proofErr w:type="spellStart"/>
      <w:r>
        <w:t>Peffers</w:t>
      </w:r>
      <w:proofErr w:type="spellEnd"/>
      <w:r>
        <w:t xml:space="preserve"> als Vorgehensmodell</w:t>
      </w:r>
    </w:p>
    <w:p w14:paraId="68B3A246" w14:textId="77777777" w:rsidR="00BF7CB4" w:rsidRDefault="00000000">
      <w:pPr>
        <w:spacing w:after="200"/>
        <w:jc w:val="both"/>
      </w:pPr>
      <w:proofErr w:type="spellStart"/>
      <w:r>
        <w:t>Peffers</w:t>
      </w:r>
      <w:proofErr w:type="spellEnd"/>
      <w:r>
        <w:t xml:space="preserve"> et al. (2007, S. 52–56) schlagen ein nominales Prozessmodell für DSR vor, das sechs Aktivitäten umfasst: (1) Problemidentifikation und Motivation, (2) Definition der Lösungsziele, (3) Entwurf und Entwicklung, (4) Demonstration, (5) Evaluation und (6) Kommunikation. Dieses Modell dient in der vorliegenden Arbeit als strukturgebendes Vorgehensmodell, das den Forschungsprozess in nachvollziehbare Schritte gliedert.</w:t>
      </w:r>
    </w:p>
    <w:p w14:paraId="68B3A247" w14:textId="77777777" w:rsidR="00BF7CB4" w:rsidRDefault="00000000">
      <w:pPr>
        <w:spacing w:after="200"/>
        <w:jc w:val="both"/>
      </w:pPr>
      <w:r>
        <w:t>Der Einstiegspunkt (</w:t>
      </w:r>
      <w:proofErr w:type="spellStart"/>
      <w:r>
        <w:rPr>
          <w:i/>
          <w:iCs/>
        </w:rPr>
        <w:t>entry</w:t>
      </w:r>
      <w:proofErr w:type="spellEnd"/>
      <w:r>
        <w:rPr>
          <w:i/>
          <w:iCs/>
        </w:rPr>
        <w:t xml:space="preserve"> </w:t>
      </w:r>
      <w:proofErr w:type="spellStart"/>
      <w:r>
        <w:rPr>
          <w:i/>
          <w:iCs/>
        </w:rPr>
        <w:t>point</w:t>
      </w:r>
      <w:proofErr w:type="spellEnd"/>
      <w:r>
        <w:t>) in den DSRM-Prozess ist problemzentriert (</w:t>
      </w:r>
      <w:r>
        <w:rPr>
          <w:i/>
          <w:iCs/>
        </w:rPr>
        <w:t>problem-</w:t>
      </w:r>
      <w:proofErr w:type="spellStart"/>
      <w:r>
        <w:rPr>
          <w:i/>
          <w:iCs/>
        </w:rPr>
        <w:t>centered</w:t>
      </w:r>
      <w:proofErr w:type="spellEnd"/>
      <w:r>
        <w:rPr>
          <w:i/>
          <w:iCs/>
        </w:rPr>
        <w:t xml:space="preserve"> </w:t>
      </w:r>
      <w:proofErr w:type="spellStart"/>
      <w:r>
        <w:rPr>
          <w:i/>
          <w:iCs/>
        </w:rPr>
        <w:t>initiation</w:t>
      </w:r>
      <w:proofErr w:type="spellEnd"/>
      <w:r>
        <w:t xml:space="preserve">), da die Forschung von einer identifizierten </w:t>
      </w:r>
      <w:proofErr w:type="spellStart"/>
      <w:r>
        <w:t>Governance</w:t>
      </w:r>
      <w:proofErr w:type="spellEnd"/>
      <w:r>
        <w:t xml:space="preserve">-Lücke bei der Operationalisierung normativer Anforderungen in </w:t>
      </w:r>
      <w:proofErr w:type="spellStart"/>
      <w:r>
        <w:t>GenAI</w:t>
      </w:r>
      <w:proofErr w:type="spellEnd"/>
      <w:r>
        <w:t>-Systemen ausgeht (</w:t>
      </w:r>
      <w:proofErr w:type="spellStart"/>
      <w:r>
        <w:t>Peffers</w:t>
      </w:r>
      <w:proofErr w:type="spellEnd"/>
      <w:r>
        <w:t xml:space="preserve"> et al., 2007, S. 56). Dieser Einstiegspunkt ist charakteristisch für Forschung, die auf eine konkrete Praxislücke reagiert und diese durch </w:t>
      </w:r>
      <w:proofErr w:type="spellStart"/>
      <w:r>
        <w:t>Artefaktkonstruktion</w:t>
      </w:r>
      <w:proofErr w:type="spellEnd"/>
      <w:r>
        <w:t xml:space="preserve"> zu schließen sucht.</w:t>
      </w:r>
    </w:p>
    <w:p w14:paraId="68B3A248" w14:textId="77777777" w:rsidR="00BF7CB4" w:rsidRDefault="00000000">
      <w:pPr>
        <w:pStyle w:val="berschrift3"/>
        <w:spacing w:before="360" w:after="240"/>
      </w:pPr>
      <w:r>
        <w:t xml:space="preserve">3.2.3 DSR </w:t>
      </w:r>
      <w:proofErr w:type="spellStart"/>
      <w:r>
        <w:t>Grid</w:t>
      </w:r>
      <w:proofErr w:type="spellEnd"/>
      <w:r>
        <w:t xml:space="preserve"> als Planungsinstrument</w:t>
      </w:r>
    </w:p>
    <w:p w14:paraId="68B3A249" w14:textId="77777777" w:rsidR="00BF7CB4" w:rsidRDefault="00000000">
      <w:pPr>
        <w:spacing w:after="200"/>
        <w:jc w:val="both"/>
      </w:pPr>
      <w:r>
        <w:t xml:space="preserve">Vom Brocke und </w:t>
      </w:r>
      <w:proofErr w:type="spellStart"/>
      <w:r>
        <w:t>Maedche</w:t>
      </w:r>
      <w:proofErr w:type="spellEnd"/>
      <w:r>
        <w:t xml:space="preserve"> (2019, S. 379) führen das DSR </w:t>
      </w:r>
      <w:proofErr w:type="spellStart"/>
      <w:r>
        <w:t>Grid</w:t>
      </w:r>
      <w:proofErr w:type="spellEnd"/>
      <w:r>
        <w:t xml:space="preserve"> als Instrument zur systematischen Planung und Kommunikation von DSR-Projekten ein. Das </w:t>
      </w:r>
      <w:proofErr w:type="spellStart"/>
      <w:r>
        <w:t>Grid</w:t>
      </w:r>
      <w:proofErr w:type="spellEnd"/>
      <w:r>
        <w:t xml:space="preserve"> umfasst sechs </w:t>
      </w:r>
      <w:r>
        <w:lastRenderedPageBreak/>
        <w:t xml:space="preserve">Kerndimensionen, die sich aus der Kreuzung von drei Bereichen (Problem, Lösung, Evaluation) mit zwei Perspektiven (Relevanz, Rigor) ergeben (vom Brocke &amp; </w:t>
      </w:r>
      <w:proofErr w:type="spellStart"/>
      <w:r>
        <w:t>Maedche</w:t>
      </w:r>
      <w:proofErr w:type="spellEnd"/>
      <w:r>
        <w:t>, 2019, S. 380). Es unterstützt Forschende dabei, sowohl die praktische Relevanz als auch die wissenschaftliche Rigorosität ihres Projekts systematisch zu reflektieren und zu kommunizieren.</w:t>
      </w:r>
    </w:p>
    <w:p w14:paraId="68B3A24A" w14:textId="77777777" w:rsidR="00BF7CB4" w:rsidRDefault="00000000">
      <w:pPr>
        <w:spacing w:after="200"/>
        <w:jc w:val="both"/>
      </w:pPr>
      <w:r>
        <w:t xml:space="preserve">Die konkrete Belegung des DSR </w:t>
      </w:r>
      <w:proofErr w:type="spellStart"/>
      <w:r>
        <w:t>Grid</w:t>
      </w:r>
      <w:proofErr w:type="spellEnd"/>
      <w:r>
        <w:t xml:space="preserve"> für die vorliegende Arbeit wird in Abschnitt 3.3 im Rahmen der Operationalisierung des DSR-Prozesses dargestellt.</w:t>
      </w:r>
    </w:p>
    <w:p w14:paraId="68B3A24B" w14:textId="77777777" w:rsidR="00BF7CB4" w:rsidRDefault="00000000">
      <w:pPr>
        <w:pStyle w:val="berschrift2"/>
      </w:pPr>
      <w:r>
        <w:t>3.3 Operationalisierung des DSR-Prozesses</w:t>
      </w:r>
    </w:p>
    <w:p w14:paraId="68B3A24C" w14:textId="77777777" w:rsidR="00BF7CB4" w:rsidRDefault="00000000">
      <w:pPr>
        <w:spacing w:after="200"/>
        <w:jc w:val="both"/>
      </w:pPr>
      <w:r>
        <w:t xml:space="preserve">Die Operationalisierung des DSR-Prozesses erfolgt durch das Mapping der sechs DSRM-Aktivitäten auf die Kapitelstruktur dieser Arbeit. Tabelle 2 zeigt die Zuordnung der DSRM-Schritte zu Forschungsfragen, </w:t>
      </w:r>
      <w:proofErr w:type="spellStart"/>
      <w:r>
        <w:t>Hevner</w:t>
      </w:r>
      <w:proofErr w:type="spellEnd"/>
      <w:r>
        <w:t>-Zyklen und den jeweiligen Kapiteln.</w:t>
      </w:r>
    </w:p>
    <w:p w14:paraId="68B3A24D" w14:textId="77777777" w:rsidR="00BF7CB4" w:rsidRDefault="00000000">
      <w:pPr>
        <w:spacing w:before="120" w:after="240"/>
      </w:pPr>
      <w:r>
        <w:rPr>
          <w:i/>
          <w:iCs/>
          <w:sz w:val="22"/>
          <w:szCs w:val="22"/>
        </w:rPr>
        <w:t>Tabelle 2: Mapping der DSRM-Aktivitäten auf die Kapitelstruktur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700"/>
        <w:gridCol w:w="1200"/>
        <w:gridCol w:w="4170"/>
      </w:tblGrid>
      <w:tr w:rsidR="00BF7CB4" w14:paraId="68B3A25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4E" w14:textId="77777777" w:rsidR="00BF7CB4" w:rsidRDefault="00000000">
            <w:pPr>
              <w:spacing w:line="240" w:lineRule="auto"/>
            </w:pPr>
            <w:r>
              <w:rPr>
                <w:b/>
                <w:bCs/>
                <w:sz w:val="20"/>
                <w:szCs w:val="20"/>
              </w:rPr>
              <w:t>DSRM-Schritt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4F" w14:textId="77777777" w:rsidR="00BF7CB4" w:rsidRDefault="00000000">
            <w:pPr>
              <w:spacing w:line="240" w:lineRule="auto"/>
            </w:pPr>
            <w:proofErr w:type="spellStart"/>
            <w:r>
              <w:rPr>
                <w:b/>
                <w:bCs/>
                <w:sz w:val="20"/>
                <w:szCs w:val="20"/>
              </w:rPr>
              <w:t>Hevner</w:t>
            </w:r>
            <w:proofErr w:type="spellEnd"/>
            <w:r>
              <w:rPr>
                <w:b/>
                <w:bCs/>
                <w:sz w:val="20"/>
                <w:szCs w:val="20"/>
              </w:rPr>
              <w:t>-Cycle</w:t>
            </w:r>
          </w:p>
        </w:tc>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50" w14:textId="77777777" w:rsidR="00BF7CB4" w:rsidRDefault="00000000">
            <w:pPr>
              <w:spacing w:line="240" w:lineRule="auto"/>
            </w:pPr>
            <w:r>
              <w:rPr>
                <w:b/>
                <w:bCs/>
                <w:sz w:val="20"/>
                <w:szCs w:val="20"/>
              </w:rPr>
              <w:t>RQ</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51" w14:textId="77777777" w:rsidR="00BF7CB4" w:rsidRDefault="00000000">
            <w:pPr>
              <w:spacing w:line="240" w:lineRule="auto"/>
            </w:pPr>
            <w:r>
              <w:rPr>
                <w:b/>
                <w:bCs/>
                <w:sz w:val="20"/>
                <w:szCs w:val="20"/>
              </w:rPr>
              <w:t>Kapitel</w:t>
            </w:r>
          </w:p>
        </w:tc>
        <w:tc>
          <w:tcPr>
            <w:tcW w:w="4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52" w14:textId="77777777" w:rsidR="00BF7CB4" w:rsidRDefault="00000000">
            <w:pPr>
              <w:spacing w:line="240" w:lineRule="auto"/>
            </w:pPr>
            <w:r>
              <w:rPr>
                <w:b/>
                <w:bCs/>
                <w:sz w:val="20"/>
                <w:szCs w:val="20"/>
              </w:rPr>
              <w:t>Artefakt/Output</w:t>
            </w:r>
          </w:p>
        </w:tc>
      </w:tr>
      <w:tr w:rsidR="00BF7CB4" w14:paraId="68B3A25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4" w14:textId="77777777" w:rsidR="00BF7CB4" w:rsidRDefault="00000000">
            <w:pPr>
              <w:spacing w:line="240" w:lineRule="auto"/>
            </w:pPr>
            <w:r>
              <w:rPr>
                <w:sz w:val="20"/>
                <w:szCs w:val="20"/>
              </w:rPr>
              <w:t>1 Problem ID</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5" w14:textId="77777777" w:rsidR="00BF7CB4" w:rsidRDefault="00000000">
            <w:pPr>
              <w:spacing w:line="240" w:lineRule="auto"/>
            </w:pPr>
            <w:r>
              <w:rPr>
                <w:sz w:val="20"/>
                <w:szCs w:val="20"/>
              </w:rPr>
              <w: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6" w14:textId="77777777" w:rsidR="00BF7CB4" w:rsidRDefault="00000000">
            <w:pPr>
              <w:spacing w:line="240" w:lineRule="auto"/>
            </w:pPr>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7" w14:textId="77777777" w:rsidR="00BF7CB4" w:rsidRDefault="00000000">
            <w:pPr>
              <w:spacing w:line="240" w:lineRule="auto"/>
            </w:pPr>
            <w:r>
              <w:rPr>
                <w:sz w:val="20"/>
                <w:szCs w:val="20"/>
              </w:rPr>
              <w:t>1 + 3.1</w:t>
            </w:r>
          </w:p>
        </w:tc>
        <w:tc>
          <w:tcPr>
            <w:tcW w:w="4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8" w14:textId="77777777" w:rsidR="00BF7CB4" w:rsidRDefault="00000000">
            <w:pPr>
              <w:spacing w:line="240" w:lineRule="auto"/>
            </w:pPr>
            <w:r>
              <w:rPr>
                <w:sz w:val="20"/>
                <w:szCs w:val="20"/>
              </w:rPr>
              <w:t>PD1–PD3</w:t>
            </w:r>
          </w:p>
        </w:tc>
      </w:tr>
      <w:tr w:rsidR="00BF7CB4" w14:paraId="68B3A25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A" w14:textId="77777777" w:rsidR="00BF7CB4" w:rsidRDefault="00000000">
            <w:pPr>
              <w:spacing w:line="240" w:lineRule="auto"/>
            </w:pPr>
            <w:r>
              <w:rPr>
                <w:sz w:val="20"/>
                <w:szCs w:val="20"/>
              </w:rPr>
              <w:t xml:space="preserve">2 </w:t>
            </w:r>
            <w:proofErr w:type="spellStart"/>
            <w:r>
              <w:rPr>
                <w:sz w:val="20"/>
                <w:szCs w:val="20"/>
              </w:rPr>
              <w:t>Objectives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B" w14:textId="77777777" w:rsidR="00BF7CB4" w:rsidRDefault="00000000">
            <w:pPr>
              <w:spacing w:line="240" w:lineRule="auto"/>
            </w:pPr>
            <w:r>
              <w:rPr>
                <w:sz w:val="20"/>
                <w:szCs w:val="20"/>
              </w:rPr>
              <w: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C" w14:textId="77777777" w:rsidR="00BF7CB4" w:rsidRDefault="00000000">
            <w:pPr>
              <w:spacing w:line="240" w:lineRule="auto"/>
            </w:pPr>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D" w14:textId="77777777" w:rsidR="00BF7CB4" w:rsidRDefault="00000000">
            <w:pPr>
              <w:spacing w:line="240" w:lineRule="auto"/>
            </w:pPr>
            <w:r>
              <w:rPr>
                <w:sz w:val="20"/>
                <w:szCs w:val="20"/>
              </w:rPr>
              <w:t>3.2 + 3.3</w:t>
            </w:r>
          </w:p>
        </w:tc>
        <w:tc>
          <w:tcPr>
            <w:tcW w:w="4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5E" w14:textId="77777777" w:rsidR="00BF7CB4" w:rsidRDefault="00000000">
            <w:pPr>
              <w:spacing w:line="240" w:lineRule="auto"/>
            </w:pPr>
            <w:proofErr w:type="spellStart"/>
            <w:r>
              <w:rPr>
                <w:sz w:val="20"/>
                <w:szCs w:val="20"/>
              </w:rPr>
              <w:t>Artefaktdefinition</w:t>
            </w:r>
            <w:proofErr w:type="spellEnd"/>
            <w:r>
              <w:rPr>
                <w:sz w:val="20"/>
                <w:szCs w:val="20"/>
              </w:rPr>
              <w:t xml:space="preserve">, </w:t>
            </w:r>
            <w:proofErr w:type="spellStart"/>
            <w:r>
              <w:rPr>
                <w:sz w:val="20"/>
                <w:szCs w:val="20"/>
              </w:rPr>
              <w:t>Scope</w:t>
            </w:r>
            <w:proofErr w:type="spellEnd"/>
          </w:p>
        </w:tc>
      </w:tr>
      <w:tr w:rsidR="00BF7CB4" w14:paraId="68B3A26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0" w14:textId="77777777" w:rsidR="00BF7CB4" w:rsidRDefault="00000000">
            <w:pPr>
              <w:spacing w:line="240" w:lineRule="auto"/>
            </w:pPr>
            <w:r>
              <w:rPr>
                <w:sz w:val="20"/>
                <w:szCs w:val="20"/>
              </w:rPr>
              <w:t>3 Design &amp; Dev.</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1" w14:textId="77777777" w:rsidR="00BF7CB4" w:rsidRDefault="00000000">
            <w:pPr>
              <w:spacing w:line="240" w:lineRule="auto"/>
            </w:pPr>
            <w:r>
              <w:rPr>
                <w:sz w:val="20"/>
                <w:szCs w:val="20"/>
              </w:rPr>
              <w:t xml:space="preserve">Design + </w:t>
            </w:r>
            <w:proofErr w:type="spellStart"/>
            <w:r>
              <w:rPr>
                <w:sz w:val="20"/>
                <w:szCs w:val="20"/>
              </w:rPr>
              <w:t>Relevance</w:t>
            </w:r>
            <w:proofErr w:type="spellEnd"/>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2" w14:textId="77777777" w:rsidR="00BF7CB4" w:rsidRDefault="00000000">
            <w:pPr>
              <w:spacing w:line="240" w:lineRule="auto"/>
            </w:pPr>
            <w:r>
              <w:rPr>
                <w:sz w:val="20"/>
                <w:szCs w:val="20"/>
              </w:rPr>
              <w:t>RQ1, RQ2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3" w14:textId="77777777" w:rsidR="00BF7CB4" w:rsidRDefault="00000000">
            <w:pPr>
              <w:spacing w:line="240" w:lineRule="auto"/>
            </w:pPr>
            <w:r>
              <w:rPr>
                <w:sz w:val="20"/>
                <w:szCs w:val="20"/>
              </w:rPr>
              <w:t>4, 5</w:t>
            </w:r>
          </w:p>
        </w:tc>
        <w:tc>
          <w:tcPr>
            <w:tcW w:w="4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4" w14:textId="77777777" w:rsidR="00BF7CB4" w:rsidRDefault="00000000">
            <w:pPr>
              <w:spacing w:line="240" w:lineRule="auto"/>
            </w:pPr>
            <w:r>
              <w:rPr>
                <w:sz w:val="20"/>
                <w:szCs w:val="20"/>
              </w:rPr>
              <w:t>R-Katalog, Referenzarchitektur mit QG-Kontrollsystem</w:t>
            </w:r>
          </w:p>
        </w:tc>
      </w:tr>
      <w:tr w:rsidR="00BF7CB4" w14:paraId="68B3A26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6" w14:textId="77777777" w:rsidR="00BF7CB4" w:rsidRDefault="00000000">
            <w:pPr>
              <w:spacing w:line="240" w:lineRule="auto"/>
            </w:pPr>
            <w:r>
              <w:rPr>
                <w:sz w:val="20"/>
                <w:szCs w:val="20"/>
              </w:rPr>
              <w:t>4 Demonstration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7" w14:textId="77777777" w:rsidR="00BF7CB4" w:rsidRDefault="00000000">
            <w:pPr>
              <w:spacing w:line="240" w:lineRule="auto"/>
            </w:pPr>
            <w:r>
              <w:rPr>
                <w:sz w:val="20"/>
                <w:szCs w:val="20"/>
              </w:rPr>
              <w:t>Design (</w:t>
            </w:r>
            <w:proofErr w:type="spellStart"/>
            <w:r>
              <w:rPr>
                <w:sz w:val="20"/>
                <w:szCs w:val="20"/>
              </w:rPr>
              <w:t>Iter</w:t>
            </w:r>
            <w:proofErr w:type="spellEnd"/>
            <w:r>
              <w:rPr>
                <w:sz w:val="20"/>
                <w:szCs w:val="20"/>
              </w:rPr>
              <w:t>. 2)</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8" w14:textId="77777777" w:rsidR="00BF7CB4" w:rsidRDefault="00000000">
            <w:pPr>
              <w:spacing w:line="240" w:lineRule="auto"/>
            </w:pPr>
            <w:r>
              <w:rPr>
                <w:sz w:val="20"/>
                <w:szCs w:val="20"/>
              </w:rPr>
              <w:t>RQ2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9" w14:textId="77777777" w:rsidR="00BF7CB4" w:rsidRDefault="00000000">
            <w:pPr>
              <w:spacing w:line="240" w:lineRule="auto"/>
            </w:pPr>
            <w:r>
              <w:rPr>
                <w:sz w:val="20"/>
                <w:szCs w:val="20"/>
              </w:rPr>
              <w:t>5.x</w:t>
            </w:r>
          </w:p>
        </w:tc>
        <w:tc>
          <w:tcPr>
            <w:tcW w:w="4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A" w14:textId="77777777" w:rsidR="00BF7CB4" w:rsidRDefault="00000000">
            <w:pPr>
              <w:spacing w:line="240" w:lineRule="auto"/>
            </w:pPr>
            <w:r>
              <w:rPr>
                <w:sz w:val="20"/>
                <w:szCs w:val="20"/>
              </w:rPr>
              <w:t>Azure-PoC-Instanziierung</w:t>
            </w:r>
          </w:p>
        </w:tc>
      </w:tr>
      <w:tr w:rsidR="00BF7CB4" w14:paraId="68B3A27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C" w14:textId="77777777" w:rsidR="00BF7CB4" w:rsidRDefault="00000000">
            <w:pPr>
              <w:spacing w:line="240" w:lineRule="auto"/>
            </w:pPr>
            <w:r>
              <w:rPr>
                <w:sz w:val="20"/>
                <w:szCs w:val="20"/>
              </w:rPr>
              <w:t>5 Evaluation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D" w14:textId="77777777" w:rsidR="00BF7CB4" w:rsidRDefault="00000000">
            <w:pPr>
              <w:spacing w:line="240" w:lineRule="auto"/>
            </w:pPr>
            <w:r>
              <w:rPr>
                <w:sz w:val="20"/>
                <w:szCs w:val="20"/>
              </w:rPr>
              <w:t>Rigor</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E" w14:textId="77777777" w:rsidR="00BF7CB4" w:rsidRDefault="00000000">
            <w:pPr>
              <w:spacing w:line="240" w:lineRule="auto"/>
            </w:pPr>
            <w:r>
              <w:rPr>
                <w:sz w:val="20"/>
                <w:szCs w:val="20"/>
              </w:rPr>
              <w:t>RQ3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6F" w14:textId="77777777" w:rsidR="00BF7CB4" w:rsidRDefault="00000000">
            <w:pPr>
              <w:spacing w:line="240" w:lineRule="auto"/>
            </w:pPr>
            <w:r>
              <w:rPr>
                <w:sz w:val="20"/>
                <w:szCs w:val="20"/>
              </w:rPr>
              <w:t>6</w:t>
            </w:r>
          </w:p>
        </w:tc>
        <w:tc>
          <w:tcPr>
            <w:tcW w:w="4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0" w14:textId="77777777" w:rsidR="00BF7CB4" w:rsidRDefault="00000000">
            <w:pPr>
              <w:spacing w:line="240" w:lineRule="auto"/>
            </w:pPr>
            <w:r>
              <w:rPr>
                <w:sz w:val="20"/>
                <w:szCs w:val="20"/>
              </w:rPr>
              <w:t>Coverage, PoC-Walkthrough, Expert-Reviews</w:t>
            </w:r>
          </w:p>
        </w:tc>
      </w:tr>
      <w:tr w:rsidR="00BF7CB4" w14:paraId="68B3A27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2" w14:textId="77777777" w:rsidR="00BF7CB4" w:rsidRDefault="00000000">
            <w:pPr>
              <w:spacing w:line="240" w:lineRule="auto"/>
            </w:pPr>
            <w:r>
              <w:rPr>
                <w:sz w:val="20"/>
                <w:szCs w:val="20"/>
              </w:rPr>
              <w:t>6 Communication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3" w14:textId="77777777" w:rsidR="00BF7CB4" w:rsidRDefault="00000000">
            <w:pPr>
              <w:spacing w:line="240" w:lineRule="auto"/>
            </w:pPr>
            <w:r>
              <w:rPr>
                <w:sz w:val="20"/>
                <w:szCs w:val="20"/>
              </w:rPr>
              <w: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4" w14:textId="77777777" w:rsidR="00BF7CB4" w:rsidRDefault="00000000">
            <w:pPr>
              <w:spacing w:line="240" w:lineRule="auto"/>
            </w:pPr>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5" w14:textId="77777777" w:rsidR="00BF7CB4" w:rsidRDefault="00000000">
            <w:pPr>
              <w:spacing w:line="240" w:lineRule="auto"/>
            </w:pPr>
            <w:r>
              <w:rPr>
                <w:sz w:val="20"/>
                <w:szCs w:val="20"/>
              </w:rPr>
              <w:t>7, 8</w:t>
            </w:r>
          </w:p>
        </w:tc>
        <w:tc>
          <w:tcPr>
            <w:tcW w:w="4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6" w14:textId="77777777" w:rsidR="00BF7CB4" w:rsidRDefault="00000000">
            <w:pPr>
              <w:spacing w:line="240" w:lineRule="auto"/>
            </w:pPr>
            <w:r>
              <w:rPr>
                <w:sz w:val="20"/>
                <w:szCs w:val="20"/>
              </w:rPr>
              <w:t>Diskussion, Fazit</w:t>
            </w:r>
          </w:p>
        </w:tc>
      </w:tr>
    </w:tbl>
    <w:p w14:paraId="68B3A278" w14:textId="77777777" w:rsidR="00BF7CB4" w:rsidRDefault="00000000">
      <w:pPr>
        <w:spacing w:after="200"/>
        <w:jc w:val="both"/>
      </w:pPr>
      <w:r>
        <w:t xml:space="preserve">Der Forschungsprozess folgt einer zweistufigen Iterationslogik: In der ersten Iteration wird das konzeptuelle Artefakt – die Referenzarchitektur mit ihren Design-Prinzipien und der Gate-Systematik – auf Basis der erhobenen Anforderungen entworfen. In der zweiten Iteration wird das Konzept durch einen Azure-basierten Proof </w:t>
      </w:r>
      <w:proofErr w:type="spellStart"/>
      <w:r>
        <w:t>of</w:t>
      </w:r>
      <w:proofErr w:type="spellEnd"/>
      <w:r>
        <w:t xml:space="preserve"> Concept instanziiert und auf Basis der Evaluationsergebnisse verfeinert. Diese Iterationslogik entspricht dem von </w:t>
      </w:r>
      <w:proofErr w:type="spellStart"/>
      <w:r>
        <w:t>Hevner</w:t>
      </w:r>
      <w:proofErr w:type="spellEnd"/>
      <w:r>
        <w:t xml:space="preserve"> et al. (2004, S. 78) beschriebenen Design Cycle, </w:t>
      </w:r>
      <w:proofErr w:type="gramStart"/>
      <w:r>
        <w:t>in dem Artefakte</w:t>
      </w:r>
      <w:proofErr w:type="gramEnd"/>
      <w:r>
        <w:t xml:space="preserve"> in Schleifen aus Konstruktion und Evaluation weiterentwickelt werden.</w:t>
      </w:r>
    </w:p>
    <w:p w14:paraId="5204C42B" w14:textId="77777777" w:rsidR="00D417E8" w:rsidRDefault="00D417E8">
      <w:pPr>
        <w:spacing w:after="200"/>
        <w:jc w:val="both"/>
      </w:pPr>
    </w:p>
    <w:p w14:paraId="7871D878" w14:textId="77777777" w:rsidR="00D417E8" w:rsidRDefault="00D417E8">
      <w:pPr>
        <w:spacing w:after="200"/>
        <w:jc w:val="both"/>
      </w:pPr>
    </w:p>
    <w:p w14:paraId="68B3A279" w14:textId="1BE6986A" w:rsidR="00BF7CB4" w:rsidRDefault="00000000">
      <w:pPr>
        <w:spacing w:after="200"/>
        <w:jc w:val="both"/>
      </w:pPr>
      <w:r>
        <w:lastRenderedPageBreak/>
        <w:t xml:space="preserve">Tabelle 3 zeigt die Belegung des DSR </w:t>
      </w:r>
      <w:proofErr w:type="spellStart"/>
      <w:r>
        <w:t>Grid</w:t>
      </w:r>
      <w:proofErr w:type="spellEnd"/>
      <w:r>
        <w:t xml:space="preserve"> nach vom Brocke und </w:t>
      </w:r>
      <w:proofErr w:type="spellStart"/>
      <w:r>
        <w:t>Maedche</w:t>
      </w:r>
      <w:proofErr w:type="spellEnd"/>
      <w:r>
        <w:t xml:space="preserve"> (2019) für die vorliegende Arbeit.</w:t>
      </w:r>
    </w:p>
    <w:p w14:paraId="68B3A27A" w14:textId="3E8635D0" w:rsidR="00BF7CB4" w:rsidRDefault="00000000">
      <w:pPr>
        <w:spacing w:before="120" w:after="240"/>
      </w:pPr>
      <w:r>
        <w:rPr>
          <w:i/>
          <w:iCs/>
          <w:sz w:val="22"/>
          <w:szCs w:val="22"/>
        </w:rPr>
        <w:t xml:space="preserve">Tabelle 3: DSR </w:t>
      </w:r>
      <w:proofErr w:type="spellStart"/>
      <w:r>
        <w:rPr>
          <w:i/>
          <w:iCs/>
          <w:sz w:val="22"/>
          <w:szCs w:val="22"/>
        </w:rPr>
        <w:t>Grid</w:t>
      </w:r>
      <w:proofErr w:type="spellEnd"/>
      <w:r>
        <w:rPr>
          <w:i/>
          <w:iCs/>
          <w:sz w:val="22"/>
          <w:szCs w:val="22"/>
        </w:rPr>
        <w:t xml:space="preserve"> der vorliegenden Arbeit (nach vom Brocke &amp; </w:t>
      </w:r>
      <w:proofErr w:type="spellStart"/>
      <w:r>
        <w:rPr>
          <w:i/>
          <w:iCs/>
          <w:sz w:val="22"/>
          <w:szCs w:val="22"/>
        </w:rPr>
        <w:t>Maedche</w:t>
      </w:r>
      <w:proofErr w:type="spellEnd"/>
      <w:r>
        <w:rPr>
          <w:i/>
          <w:iCs/>
          <w:sz w:val="22"/>
          <w:szCs w:val="22"/>
        </w:rPr>
        <w:t>, 2019)</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35"/>
        <w:gridCol w:w="3835"/>
      </w:tblGrid>
      <w:tr w:rsidR="00BF7CB4" w14:paraId="68B3A27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7B" w14:textId="77777777" w:rsidR="00BF7CB4" w:rsidRDefault="00000000">
            <w:pPr>
              <w:spacing w:line="240" w:lineRule="auto"/>
            </w:pPr>
            <w:r>
              <w:rPr>
                <w:b/>
                <w:bCs/>
                <w:sz w:val="20"/>
                <w:szCs w:val="20"/>
              </w:rPr>
              <w:t>Dimension</w:t>
            </w:r>
          </w:p>
        </w:tc>
        <w:tc>
          <w:tcPr>
            <w:tcW w:w="383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7C" w14:textId="77777777" w:rsidR="00BF7CB4" w:rsidRDefault="00000000">
            <w:pPr>
              <w:spacing w:line="240" w:lineRule="auto"/>
            </w:pPr>
            <w:r>
              <w:rPr>
                <w:b/>
                <w:bCs/>
                <w:sz w:val="20"/>
                <w:szCs w:val="20"/>
              </w:rPr>
              <w:t>Relevanz</w:t>
            </w:r>
          </w:p>
        </w:tc>
        <w:tc>
          <w:tcPr>
            <w:tcW w:w="383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7D" w14:textId="77777777" w:rsidR="00BF7CB4" w:rsidRDefault="00000000">
            <w:pPr>
              <w:spacing w:line="240" w:lineRule="auto"/>
            </w:pPr>
            <w:r>
              <w:rPr>
                <w:b/>
                <w:bCs/>
                <w:sz w:val="20"/>
                <w:szCs w:val="20"/>
              </w:rPr>
              <w:t>Rigor</w:t>
            </w:r>
          </w:p>
        </w:tc>
      </w:tr>
      <w:tr w:rsidR="00BF7CB4" w14:paraId="68B3A28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7F" w14:textId="77777777" w:rsidR="00BF7CB4" w:rsidRDefault="00000000">
            <w:pPr>
              <w:spacing w:line="240" w:lineRule="auto"/>
            </w:pPr>
            <w:r>
              <w:rPr>
                <w:b/>
                <w:bCs/>
                <w:sz w:val="20"/>
                <w:szCs w:val="20"/>
              </w:rPr>
              <w:t>Problem</w:t>
            </w:r>
          </w:p>
        </w:tc>
        <w:tc>
          <w:tcPr>
            <w:tcW w:w="38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0" w14:textId="77777777" w:rsidR="00BF7CB4" w:rsidRDefault="00000000">
            <w:pPr>
              <w:spacing w:line="240" w:lineRule="auto"/>
            </w:pPr>
            <w:r>
              <w:rPr>
                <w:sz w:val="20"/>
                <w:szCs w:val="20"/>
              </w:rPr>
              <w:t xml:space="preserve">PD1–PD3; Stakeholder: CISO, Compliance </w:t>
            </w:r>
            <w:proofErr w:type="spellStart"/>
            <w:r>
              <w:rPr>
                <w:sz w:val="20"/>
                <w:szCs w:val="20"/>
              </w:rPr>
              <w:t>Officers</w:t>
            </w:r>
            <w:proofErr w:type="spellEnd"/>
            <w:r>
              <w:rPr>
                <w:sz w:val="20"/>
                <w:szCs w:val="20"/>
              </w:rPr>
              <w:t xml:space="preserve">, </w:t>
            </w:r>
            <w:proofErr w:type="spellStart"/>
            <w:r>
              <w:rPr>
                <w:sz w:val="20"/>
                <w:szCs w:val="20"/>
              </w:rPr>
              <w:t>MLOps</w:t>
            </w:r>
            <w:proofErr w:type="spellEnd"/>
            <w:r>
              <w:rPr>
                <w:sz w:val="20"/>
                <w:szCs w:val="20"/>
              </w:rPr>
              <w:t xml:space="preserve"> Engineers, Enterprise </w:t>
            </w:r>
            <w:proofErr w:type="spellStart"/>
            <w:r>
              <w:rPr>
                <w:sz w:val="20"/>
                <w:szCs w:val="20"/>
              </w:rPr>
              <w:t>Architects</w:t>
            </w:r>
            <w:proofErr w:type="spellEnd"/>
          </w:p>
        </w:tc>
        <w:tc>
          <w:tcPr>
            <w:tcW w:w="38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1" w14:textId="77777777" w:rsidR="00BF7CB4" w:rsidRDefault="00000000">
            <w:pPr>
              <w:spacing w:line="240" w:lineRule="auto"/>
            </w:pPr>
            <w:proofErr w:type="spellStart"/>
            <w:r>
              <w:rPr>
                <w:sz w:val="20"/>
                <w:szCs w:val="20"/>
              </w:rPr>
              <w:t>MLOps</w:t>
            </w:r>
            <w:proofErr w:type="spellEnd"/>
            <w:r>
              <w:rPr>
                <w:sz w:val="20"/>
                <w:szCs w:val="20"/>
              </w:rPr>
              <w:t xml:space="preserve">-Literatur ohne Gate-Systematik; </w:t>
            </w:r>
            <w:proofErr w:type="gramStart"/>
            <w:r>
              <w:rPr>
                <w:sz w:val="20"/>
                <w:szCs w:val="20"/>
              </w:rPr>
              <w:t>AI Act</w:t>
            </w:r>
            <w:proofErr w:type="gramEnd"/>
            <w:r>
              <w:rPr>
                <w:sz w:val="20"/>
                <w:szCs w:val="20"/>
              </w:rPr>
              <w:t xml:space="preserve"> ohne technische Operationalisierung; ISO 42001 ohne Pipeline-Bezug</w:t>
            </w:r>
          </w:p>
        </w:tc>
      </w:tr>
      <w:tr w:rsidR="00BF7CB4" w14:paraId="68B3A28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3" w14:textId="77777777" w:rsidR="00BF7CB4" w:rsidRDefault="00000000">
            <w:pPr>
              <w:spacing w:line="240" w:lineRule="auto"/>
            </w:pPr>
            <w:r>
              <w:rPr>
                <w:b/>
                <w:bCs/>
                <w:sz w:val="20"/>
                <w:szCs w:val="20"/>
              </w:rPr>
              <w:t>Lösung</w:t>
            </w:r>
          </w:p>
        </w:tc>
        <w:tc>
          <w:tcPr>
            <w:tcW w:w="38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4" w14:textId="77777777" w:rsidR="00BF7CB4" w:rsidRDefault="00000000">
            <w:pPr>
              <w:spacing w:line="240" w:lineRule="auto"/>
            </w:pPr>
            <w:r>
              <w:rPr>
                <w:sz w:val="20"/>
                <w:szCs w:val="20"/>
              </w:rPr>
              <w:t xml:space="preserve">Referenzarchitektur (Primärartefakt) mit </w:t>
            </w:r>
            <w:proofErr w:type="spellStart"/>
            <w:r>
              <w:rPr>
                <w:sz w:val="20"/>
                <w:szCs w:val="20"/>
              </w:rPr>
              <w:t>lifecycle</w:t>
            </w:r>
            <w:proofErr w:type="spellEnd"/>
            <w:r>
              <w:rPr>
                <w:sz w:val="20"/>
                <w:szCs w:val="20"/>
              </w:rPr>
              <w:t xml:space="preserve">-integriertem QG-Kontrollsystem als zentralem Designprinzip; präventiv, </w:t>
            </w:r>
            <w:proofErr w:type="spellStart"/>
            <w:r>
              <w:rPr>
                <w:sz w:val="20"/>
                <w:szCs w:val="20"/>
              </w:rPr>
              <w:t>detektiv</w:t>
            </w:r>
            <w:proofErr w:type="spellEnd"/>
            <w:r>
              <w:rPr>
                <w:sz w:val="20"/>
                <w:szCs w:val="20"/>
              </w:rPr>
              <w:t>, evidenzbasiert</w:t>
            </w:r>
          </w:p>
        </w:tc>
        <w:tc>
          <w:tcPr>
            <w:tcW w:w="38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5" w14:textId="77777777" w:rsidR="00BF7CB4" w:rsidRDefault="00000000">
            <w:pPr>
              <w:spacing w:line="240" w:lineRule="auto"/>
            </w:pPr>
            <w:r>
              <w:rPr>
                <w:sz w:val="20"/>
                <w:szCs w:val="20"/>
              </w:rPr>
              <w:t xml:space="preserve">DP1–DP5 aus Anforderungskatalog abgeleitet; Kernel </w:t>
            </w:r>
            <w:proofErr w:type="spellStart"/>
            <w:r>
              <w:rPr>
                <w:sz w:val="20"/>
                <w:szCs w:val="20"/>
              </w:rPr>
              <w:t>Theories</w:t>
            </w:r>
            <w:proofErr w:type="spellEnd"/>
            <w:r>
              <w:rPr>
                <w:sz w:val="20"/>
                <w:szCs w:val="20"/>
              </w:rPr>
              <w:t>: Policy-</w:t>
            </w:r>
            <w:proofErr w:type="spellStart"/>
            <w:r>
              <w:rPr>
                <w:sz w:val="20"/>
                <w:szCs w:val="20"/>
              </w:rPr>
              <w:t>as</w:t>
            </w:r>
            <w:proofErr w:type="spellEnd"/>
            <w:r>
              <w:rPr>
                <w:sz w:val="20"/>
                <w:szCs w:val="20"/>
              </w:rPr>
              <w:t>-Code, Compliance-</w:t>
            </w:r>
            <w:proofErr w:type="spellStart"/>
            <w:r>
              <w:rPr>
                <w:sz w:val="20"/>
                <w:szCs w:val="20"/>
              </w:rPr>
              <w:t>as</w:t>
            </w:r>
            <w:proofErr w:type="spellEnd"/>
            <w:r>
              <w:rPr>
                <w:sz w:val="20"/>
                <w:szCs w:val="20"/>
              </w:rPr>
              <w:t>-Code; Referenzarchitekturtheorie</w:t>
            </w:r>
          </w:p>
        </w:tc>
      </w:tr>
      <w:tr w:rsidR="00BF7CB4" w14:paraId="68B3A28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7" w14:textId="77777777" w:rsidR="00BF7CB4" w:rsidRDefault="00000000">
            <w:pPr>
              <w:spacing w:line="240" w:lineRule="auto"/>
            </w:pPr>
            <w:r>
              <w:rPr>
                <w:b/>
                <w:bCs/>
                <w:sz w:val="20"/>
                <w:szCs w:val="20"/>
              </w:rPr>
              <w:t>Evaluation</w:t>
            </w:r>
          </w:p>
        </w:tc>
        <w:tc>
          <w:tcPr>
            <w:tcW w:w="38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8" w14:textId="77777777" w:rsidR="00BF7CB4" w:rsidRDefault="00000000">
            <w:pPr>
              <w:spacing w:line="240" w:lineRule="auto"/>
            </w:pPr>
            <w:r>
              <w:rPr>
                <w:sz w:val="20"/>
                <w:szCs w:val="20"/>
              </w:rPr>
              <w:t xml:space="preserve">Dreistufig: Coverage-Matrix, PoC-Walkthrough, Expert-Reviews (n ≥ 3); 2 Iterationen; Demo-Domäne </w:t>
            </w:r>
            <w:proofErr w:type="spellStart"/>
            <w:r>
              <w:rPr>
                <w:sz w:val="20"/>
                <w:szCs w:val="20"/>
              </w:rPr>
              <w:t>Healthcare</w:t>
            </w:r>
            <w:proofErr w:type="spellEnd"/>
          </w:p>
        </w:tc>
        <w:tc>
          <w:tcPr>
            <w:tcW w:w="38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89" w14:textId="77777777" w:rsidR="00BF7CB4" w:rsidRDefault="00000000">
            <w:pPr>
              <w:spacing w:line="240" w:lineRule="auto"/>
            </w:pPr>
            <w:r>
              <w:rPr>
                <w:sz w:val="20"/>
                <w:szCs w:val="20"/>
              </w:rPr>
              <w:t>Triangulation: Coverage = Vollständigkeit, PoC = Machbarkeit, Expert-Reviews = Praxistauglichkeit</w:t>
            </w:r>
          </w:p>
        </w:tc>
      </w:tr>
    </w:tbl>
    <w:p w14:paraId="68B3A28B" w14:textId="77777777" w:rsidR="00BF7CB4" w:rsidRDefault="00000000">
      <w:pPr>
        <w:pStyle w:val="berschrift2"/>
      </w:pPr>
      <w:r>
        <w:t xml:space="preserve">3.4 </w:t>
      </w:r>
      <w:proofErr w:type="spellStart"/>
      <w:r>
        <w:t>Artefaktdefinition</w:t>
      </w:r>
      <w:proofErr w:type="spellEnd"/>
      <w:r>
        <w:t xml:space="preserve">, </w:t>
      </w:r>
      <w:proofErr w:type="spellStart"/>
      <w:r>
        <w:t>Scope</w:t>
      </w:r>
      <w:proofErr w:type="spellEnd"/>
      <w:r>
        <w:t xml:space="preserve"> und Abgrenzung</w:t>
      </w:r>
    </w:p>
    <w:p w14:paraId="68B3A28C" w14:textId="77777777" w:rsidR="00BF7CB4" w:rsidRDefault="00000000">
      <w:pPr>
        <w:spacing w:after="200"/>
        <w:jc w:val="both"/>
      </w:pPr>
      <w:r>
        <w:t xml:space="preserve">Das Primärartefakt dieser Arbeit ist eine </w:t>
      </w:r>
      <w:proofErr w:type="spellStart"/>
      <w:r>
        <w:t>compliance</w:t>
      </w:r>
      <w:proofErr w:type="spellEnd"/>
      <w:r>
        <w:t xml:space="preserve">-orientierte Referenzarchitektur für </w:t>
      </w:r>
      <w:proofErr w:type="spellStart"/>
      <w:r>
        <w:t>GenAIOps</w:t>
      </w:r>
      <w:proofErr w:type="spellEnd"/>
      <w:r>
        <w:t xml:space="preserve"> mit integrierter Quality-Gate-Systematik und </w:t>
      </w:r>
      <w:proofErr w:type="spellStart"/>
      <w:r>
        <w:t>Traceability</w:t>
      </w:r>
      <w:proofErr w:type="spellEnd"/>
      <w:r>
        <w:t xml:space="preserve">-Mechanismen, instanziiert durch einen Cloud-Native Proof </w:t>
      </w:r>
      <w:proofErr w:type="spellStart"/>
      <w:r>
        <w:t>of</w:t>
      </w:r>
      <w:proofErr w:type="spellEnd"/>
      <w:r>
        <w:t xml:space="preserve"> Concept zur Operationalisierung regulatorischer Anforderungen. Die Referenzarchitektur bildet das architekturdominante Gesamtartefakt; das </w:t>
      </w:r>
      <w:proofErr w:type="spellStart"/>
      <w:r>
        <w:t>lifecycle</w:t>
      </w:r>
      <w:proofErr w:type="spellEnd"/>
      <w:r>
        <w:t>-integrierte Quality-Gate-Kontrollsystem fungiert als zentrales Designprinzip, das die Architektur durchdringt und ihr die spezifische Compliance-Orientierung verleiht.</w:t>
      </w:r>
    </w:p>
    <w:p w14:paraId="68B3A28D" w14:textId="77777777" w:rsidR="00BF7CB4" w:rsidRDefault="00000000">
      <w:pPr>
        <w:spacing w:after="200"/>
        <w:jc w:val="both"/>
      </w:pPr>
      <w:r>
        <w:t xml:space="preserve">Das Kontrollsystem weist drei Charakteristika auf: Es agiert </w:t>
      </w:r>
      <w:r>
        <w:rPr>
          <w:i/>
          <w:iCs/>
        </w:rPr>
        <w:t>präventiv</w:t>
      </w:r>
      <w:r>
        <w:t xml:space="preserve"> durch Gate-Prüfungen vor dem </w:t>
      </w:r>
      <w:proofErr w:type="spellStart"/>
      <w:r>
        <w:t>Deployment</w:t>
      </w:r>
      <w:proofErr w:type="spellEnd"/>
      <w:r>
        <w:t xml:space="preserve">, </w:t>
      </w:r>
      <w:proofErr w:type="spellStart"/>
      <w:r>
        <w:rPr>
          <w:i/>
          <w:iCs/>
        </w:rPr>
        <w:t>detektiv</w:t>
      </w:r>
      <w:proofErr w:type="spellEnd"/>
      <w:r>
        <w:t xml:space="preserve"> durch Monitoring-Gates in der Produktionsphase und </w:t>
      </w:r>
      <w:r>
        <w:rPr>
          <w:i/>
          <w:iCs/>
        </w:rPr>
        <w:t>evidenzbasiert</w:t>
      </w:r>
      <w:r>
        <w:t xml:space="preserve"> durch einen durchgehenden Audit Trail mit unveränderlichen Nachweisartefakten. Diese Dreifachcharakteristik operationalisiert den Grundsatz der Verantwortungsnachweisbarkeit (</w:t>
      </w:r>
      <w:proofErr w:type="spellStart"/>
      <w:r>
        <w:rPr>
          <w:i/>
          <w:iCs/>
        </w:rPr>
        <w:t>Accountability</w:t>
      </w:r>
      <w:proofErr w:type="spellEnd"/>
      <w:r>
        <w:rPr>
          <w:i/>
          <w:iCs/>
        </w:rPr>
        <w:t>-</w:t>
      </w:r>
      <w:proofErr w:type="spellStart"/>
      <w:r>
        <w:rPr>
          <w:i/>
          <w:iCs/>
        </w:rPr>
        <w:t>by</w:t>
      </w:r>
      <w:proofErr w:type="spellEnd"/>
      <w:r>
        <w:rPr>
          <w:i/>
          <w:iCs/>
        </w:rPr>
        <w:t>-Design</w:t>
      </w:r>
      <w:r>
        <w:t xml:space="preserve">) über den gesamten </w:t>
      </w:r>
      <w:proofErr w:type="spellStart"/>
      <w:r>
        <w:t>GenAI</w:t>
      </w:r>
      <w:proofErr w:type="spellEnd"/>
      <w:r>
        <w:t>-Lifecycle.</w:t>
      </w:r>
    </w:p>
    <w:p w14:paraId="68B3A28E" w14:textId="77777777" w:rsidR="00BF7CB4" w:rsidRDefault="00000000">
      <w:pPr>
        <w:pStyle w:val="berschrift3"/>
        <w:spacing w:before="360" w:after="240"/>
      </w:pPr>
      <w:r>
        <w:t>3.4.1 Architekturelle Struktur</w:t>
      </w:r>
    </w:p>
    <w:p w14:paraId="68B3A28F" w14:textId="77777777" w:rsidR="00BF7CB4" w:rsidRDefault="00000000">
      <w:pPr>
        <w:spacing w:after="200"/>
        <w:jc w:val="both"/>
      </w:pPr>
      <w:r>
        <w:t>Die Referenzarchitektur gliedert sich in vier Säulen, die gemeinsam den Lösungsraum aufspannen. Tabelle 4 zeigt die generische Architektur und ihre technologische Instanziierung im PoC.</w:t>
      </w:r>
    </w:p>
    <w:p w14:paraId="73F1EAF6" w14:textId="77777777" w:rsidR="00D417E8" w:rsidRDefault="00D417E8">
      <w:pPr>
        <w:spacing w:before="120" w:after="240"/>
        <w:rPr>
          <w:i/>
          <w:iCs/>
          <w:sz w:val="22"/>
          <w:szCs w:val="22"/>
        </w:rPr>
      </w:pPr>
    </w:p>
    <w:p w14:paraId="68B3A290" w14:textId="25A632A7" w:rsidR="00BF7CB4" w:rsidRDefault="00000000">
      <w:pPr>
        <w:spacing w:before="120" w:after="240"/>
      </w:pPr>
      <w:r>
        <w:rPr>
          <w:i/>
          <w:iCs/>
          <w:sz w:val="22"/>
          <w:szCs w:val="22"/>
        </w:rPr>
        <w:lastRenderedPageBreak/>
        <w:t>Tabelle 4: Vier Säulen der Referenzarchitektur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600"/>
        <w:gridCol w:w="3370"/>
      </w:tblGrid>
      <w:tr w:rsidR="00BF7CB4" w14:paraId="68B3A29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91" w14:textId="77777777" w:rsidR="00BF7CB4" w:rsidRDefault="00000000">
            <w:pPr>
              <w:spacing w:line="240" w:lineRule="auto"/>
            </w:pPr>
            <w:r>
              <w:rPr>
                <w:b/>
                <w:bCs/>
                <w:sz w:val="20"/>
                <w:szCs w:val="20"/>
              </w:rPr>
              <w:t>Säule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92" w14:textId="77777777" w:rsidR="00BF7CB4" w:rsidRDefault="00000000">
            <w:pPr>
              <w:spacing w:line="240" w:lineRule="auto"/>
            </w:pPr>
            <w:r>
              <w:rPr>
                <w:b/>
                <w:bCs/>
                <w:sz w:val="20"/>
                <w:szCs w:val="20"/>
              </w:rPr>
              <w:t>Inhalt</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93" w14:textId="77777777" w:rsidR="00BF7CB4" w:rsidRDefault="00000000">
            <w:pPr>
              <w:spacing w:line="240" w:lineRule="auto"/>
            </w:pPr>
            <w:r>
              <w:rPr>
                <w:b/>
                <w:bCs/>
                <w:sz w:val="20"/>
                <w:szCs w:val="20"/>
              </w:rPr>
              <w:t>Generisch</w:t>
            </w:r>
          </w:p>
        </w:tc>
        <w:tc>
          <w:tcPr>
            <w:tcW w:w="33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94" w14:textId="77777777" w:rsidR="00BF7CB4" w:rsidRDefault="00000000">
            <w:pPr>
              <w:spacing w:line="240" w:lineRule="auto"/>
            </w:pPr>
            <w:r>
              <w:rPr>
                <w:b/>
                <w:bCs/>
                <w:sz w:val="20"/>
                <w:szCs w:val="20"/>
              </w:rPr>
              <w:t>PoC (Azure)</w:t>
            </w:r>
          </w:p>
        </w:tc>
      </w:tr>
      <w:tr w:rsidR="00BF7CB4" w14:paraId="68B3A29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6" w14:textId="77777777" w:rsidR="00BF7CB4" w:rsidRDefault="00000000">
            <w:pPr>
              <w:spacing w:line="240" w:lineRule="auto"/>
            </w:pPr>
            <w:r>
              <w:rPr>
                <w:sz w:val="20"/>
                <w:szCs w:val="20"/>
              </w:rPr>
              <w:t>S1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7" w14:textId="77777777" w:rsidR="00BF7CB4" w:rsidRDefault="00000000">
            <w:pPr>
              <w:spacing w:line="240" w:lineRule="auto"/>
            </w:pPr>
            <w:r>
              <w:rPr>
                <w:sz w:val="20"/>
                <w:szCs w:val="20"/>
              </w:rPr>
              <w:t>Architekturelle Struktur (Schichten/Module)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8" w14:textId="77777777" w:rsidR="00BF7CB4" w:rsidRDefault="00000000">
            <w:pPr>
              <w:spacing w:line="240" w:lineRule="auto"/>
            </w:pPr>
            <w:r>
              <w:rPr>
                <w:sz w:val="20"/>
                <w:szCs w:val="20"/>
              </w:rPr>
              <w:t xml:space="preserve">Container </w:t>
            </w:r>
            <w:proofErr w:type="spellStart"/>
            <w:r>
              <w:rPr>
                <w:sz w:val="20"/>
                <w:szCs w:val="20"/>
              </w:rPr>
              <w:t>Orchestrator</w:t>
            </w:r>
            <w:proofErr w:type="spellEnd"/>
            <w:r>
              <w:rPr>
                <w:sz w:val="20"/>
                <w:szCs w:val="20"/>
              </w:rPr>
              <w:t xml:space="preserve">, </w:t>
            </w:r>
            <w:proofErr w:type="spellStart"/>
            <w:r>
              <w:rPr>
                <w:sz w:val="20"/>
                <w:szCs w:val="20"/>
              </w:rPr>
              <w:t>IaC</w:t>
            </w:r>
            <w:proofErr w:type="spellEnd"/>
          </w:p>
        </w:tc>
        <w:tc>
          <w:tcPr>
            <w:tcW w:w="33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9" w14:textId="77777777" w:rsidR="00BF7CB4" w:rsidRDefault="00000000">
            <w:pPr>
              <w:spacing w:line="240" w:lineRule="auto"/>
            </w:pPr>
            <w:r>
              <w:rPr>
                <w:sz w:val="20"/>
                <w:szCs w:val="20"/>
              </w:rPr>
              <w:t>AKS, Terraform/</w:t>
            </w:r>
            <w:proofErr w:type="spellStart"/>
            <w:r>
              <w:rPr>
                <w:sz w:val="20"/>
                <w:szCs w:val="20"/>
              </w:rPr>
              <w:t>Bicep</w:t>
            </w:r>
            <w:proofErr w:type="spellEnd"/>
            <w:r>
              <w:rPr>
                <w:sz w:val="20"/>
                <w:szCs w:val="20"/>
              </w:rPr>
              <w:t>, Helm</w:t>
            </w:r>
          </w:p>
        </w:tc>
      </w:tr>
      <w:tr w:rsidR="00BF7CB4" w14:paraId="68B3A29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B" w14:textId="77777777" w:rsidR="00BF7CB4" w:rsidRDefault="00000000">
            <w:pPr>
              <w:spacing w:line="240" w:lineRule="auto"/>
            </w:pPr>
            <w:r>
              <w:rPr>
                <w:sz w:val="20"/>
                <w:szCs w:val="20"/>
              </w:rPr>
              <w:t>S2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C" w14:textId="77777777" w:rsidR="00BF7CB4" w:rsidRDefault="00000000">
            <w:pPr>
              <w:spacing w:line="240" w:lineRule="auto"/>
            </w:pPr>
            <w:r>
              <w:rPr>
                <w:sz w:val="20"/>
                <w:szCs w:val="20"/>
              </w:rPr>
              <w:t>Quality-Gate-Kontrollsystem</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D" w14:textId="77777777" w:rsidR="00BF7CB4" w:rsidRDefault="00000000">
            <w:pPr>
              <w:spacing w:line="240" w:lineRule="auto"/>
            </w:pPr>
            <w:r>
              <w:rPr>
                <w:sz w:val="20"/>
                <w:szCs w:val="20"/>
              </w:rPr>
              <w:t xml:space="preserve">Policy Engine + </w:t>
            </w:r>
            <w:proofErr w:type="spellStart"/>
            <w:r>
              <w:rPr>
                <w:sz w:val="20"/>
                <w:szCs w:val="20"/>
              </w:rPr>
              <w:t>GenAI-Eval</w:t>
            </w:r>
            <w:proofErr w:type="spellEnd"/>
          </w:p>
        </w:tc>
        <w:tc>
          <w:tcPr>
            <w:tcW w:w="33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9E" w14:textId="77777777" w:rsidR="00BF7CB4" w:rsidRDefault="00000000">
            <w:pPr>
              <w:spacing w:line="240" w:lineRule="auto"/>
            </w:pPr>
            <w:r>
              <w:rPr>
                <w:sz w:val="20"/>
                <w:szCs w:val="20"/>
              </w:rPr>
              <w:t xml:space="preserve">OPA/Rego, </w:t>
            </w:r>
            <w:proofErr w:type="spellStart"/>
            <w:r>
              <w:rPr>
                <w:sz w:val="20"/>
                <w:szCs w:val="20"/>
              </w:rPr>
              <w:t>DeepEval</w:t>
            </w:r>
            <w:proofErr w:type="spellEnd"/>
            <w:r>
              <w:rPr>
                <w:sz w:val="20"/>
                <w:szCs w:val="20"/>
              </w:rPr>
              <w:t xml:space="preserve">, Azure AI </w:t>
            </w:r>
            <w:proofErr w:type="spellStart"/>
            <w:r>
              <w:rPr>
                <w:sz w:val="20"/>
                <w:szCs w:val="20"/>
              </w:rPr>
              <w:t>Eval</w:t>
            </w:r>
            <w:proofErr w:type="spellEnd"/>
            <w:r>
              <w:rPr>
                <w:sz w:val="20"/>
                <w:szCs w:val="20"/>
              </w:rPr>
              <w:t xml:space="preserve"> SDK</w:t>
            </w:r>
          </w:p>
        </w:tc>
      </w:tr>
      <w:tr w:rsidR="00BF7CB4" w14:paraId="68B3A2A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0" w14:textId="77777777" w:rsidR="00BF7CB4" w:rsidRDefault="00000000">
            <w:pPr>
              <w:spacing w:line="240" w:lineRule="auto"/>
            </w:pPr>
            <w:r>
              <w:rPr>
                <w:sz w:val="20"/>
                <w:szCs w:val="20"/>
              </w:rPr>
              <w:t>S3</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1" w14:textId="77777777" w:rsidR="00BF7CB4" w:rsidRDefault="00000000">
            <w:pPr>
              <w:spacing w:line="240" w:lineRule="auto"/>
            </w:pPr>
            <w:r>
              <w:rPr>
                <w:sz w:val="20"/>
                <w:szCs w:val="20"/>
              </w:rPr>
              <w:t>Pipeline-Integration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2" w14:textId="77777777" w:rsidR="00BF7CB4" w:rsidRDefault="00000000">
            <w:pPr>
              <w:spacing w:line="240" w:lineRule="auto"/>
            </w:pPr>
            <w:r>
              <w:rPr>
                <w:sz w:val="20"/>
                <w:szCs w:val="20"/>
              </w:rPr>
              <w:t xml:space="preserve">CI/CD, </w:t>
            </w:r>
            <w:proofErr w:type="spellStart"/>
            <w:r>
              <w:rPr>
                <w:sz w:val="20"/>
                <w:szCs w:val="20"/>
              </w:rPr>
              <w:t>GitOps</w:t>
            </w:r>
            <w:proofErr w:type="spellEnd"/>
            <w:r>
              <w:rPr>
                <w:sz w:val="20"/>
                <w:szCs w:val="20"/>
              </w:rPr>
              <w:t>, Signierung</w:t>
            </w:r>
          </w:p>
        </w:tc>
        <w:tc>
          <w:tcPr>
            <w:tcW w:w="33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3" w14:textId="77777777" w:rsidR="00BF7CB4" w:rsidRDefault="00000000">
            <w:pPr>
              <w:spacing w:line="240" w:lineRule="auto"/>
            </w:pPr>
            <w:r>
              <w:rPr>
                <w:sz w:val="20"/>
                <w:szCs w:val="20"/>
              </w:rPr>
              <w:t xml:space="preserve">GitHub Actions, </w:t>
            </w:r>
            <w:proofErr w:type="spellStart"/>
            <w:r>
              <w:rPr>
                <w:sz w:val="20"/>
                <w:szCs w:val="20"/>
              </w:rPr>
              <w:t>ArgoCD</w:t>
            </w:r>
            <w:proofErr w:type="spellEnd"/>
            <w:r>
              <w:rPr>
                <w:sz w:val="20"/>
                <w:szCs w:val="20"/>
              </w:rPr>
              <w:t xml:space="preserve">, </w:t>
            </w:r>
            <w:proofErr w:type="spellStart"/>
            <w:r>
              <w:rPr>
                <w:sz w:val="20"/>
                <w:szCs w:val="20"/>
              </w:rPr>
              <w:t>Sigstore</w:t>
            </w:r>
            <w:proofErr w:type="spellEnd"/>
            <w:r>
              <w:rPr>
                <w:sz w:val="20"/>
                <w:szCs w:val="20"/>
              </w:rPr>
              <w:t>/</w:t>
            </w:r>
            <w:proofErr w:type="spellStart"/>
            <w:r>
              <w:rPr>
                <w:sz w:val="20"/>
                <w:szCs w:val="20"/>
              </w:rPr>
              <w:t>Cosign</w:t>
            </w:r>
            <w:proofErr w:type="spellEnd"/>
          </w:p>
        </w:tc>
      </w:tr>
      <w:tr w:rsidR="00BF7CB4" w14:paraId="68B3A2A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5" w14:textId="77777777" w:rsidR="00BF7CB4" w:rsidRDefault="00000000">
            <w:pPr>
              <w:spacing w:line="240" w:lineRule="auto"/>
            </w:pPr>
            <w:r>
              <w:rPr>
                <w:sz w:val="20"/>
                <w:szCs w:val="20"/>
              </w:rPr>
              <w:t>S4</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6" w14:textId="77777777" w:rsidR="00BF7CB4" w:rsidRDefault="00000000">
            <w:pPr>
              <w:spacing w:line="240" w:lineRule="auto"/>
            </w:pPr>
            <w:proofErr w:type="spellStart"/>
            <w:r>
              <w:rPr>
                <w:sz w:val="20"/>
                <w:szCs w:val="20"/>
              </w:rPr>
              <w:t>Evidence</w:t>
            </w:r>
            <w:proofErr w:type="spellEnd"/>
            <w:r>
              <w:rPr>
                <w:sz w:val="20"/>
                <w:szCs w:val="20"/>
              </w:rPr>
              <w:t>-/Audit-Logik</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7" w14:textId="77777777" w:rsidR="00BF7CB4" w:rsidRDefault="00000000">
            <w:pPr>
              <w:spacing w:line="240" w:lineRule="auto"/>
            </w:pPr>
            <w:r>
              <w:rPr>
                <w:sz w:val="20"/>
                <w:szCs w:val="20"/>
              </w:rPr>
              <w:t xml:space="preserve">Policy Engine + </w:t>
            </w:r>
            <w:proofErr w:type="spellStart"/>
            <w:r>
              <w:rPr>
                <w:sz w:val="20"/>
                <w:szCs w:val="20"/>
              </w:rPr>
              <w:t>Evidence</w:t>
            </w:r>
            <w:proofErr w:type="spellEnd"/>
            <w:r>
              <w:rPr>
                <w:sz w:val="20"/>
                <w:szCs w:val="20"/>
              </w:rPr>
              <w:t xml:space="preserve"> Store</w:t>
            </w:r>
          </w:p>
        </w:tc>
        <w:tc>
          <w:tcPr>
            <w:tcW w:w="33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A8" w14:textId="77777777" w:rsidR="00BF7CB4" w:rsidRDefault="00000000">
            <w:pPr>
              <w:spacing w:line="240" w:lineRule="auto"/>
            </w:pPr>
            <w:r>
              <w:rPr>
                <w:sz w:val="20"/>
                <w:szCs w:val="20"/>
              </w:rPr>
              <w:t>OPA/Rego, Azure Blob (</w:t>
            </w:r>
            <w:proofErr w:type="spellStart"/>
            <w:r>
              <w:rPr>
                <w:sz w:val="20"/>
                <w:szCs w:val="20"/>
              </w:rPr>
              <w:t>immutable</w:t>
            </w:r>
            <w:proofErr w:type="spellEnd"/>
            <w:r>
              <w:rPr>
                <w:sz w:val="20"/>
                <w:szCs w:val="20"/>
              </w:rPr>
              <w:t>), Azure Monitor</w:t>
            </w:r>
          </w:p>
        </w:tc>
      </w:tr>
    </w:tbl>
    <w:p w14:paraId="68B3A2AA" w14:textId="77777777" w:rsidR="00BF7CB4" w:rsidRDefault="00000000">
      <w:pPr>
        <w:pStyle w:val="berschrift3"/>
        <w:spacing w:before="360" w:after="240"/>
      </w:pPr>
      <w:r>
        <w:t>3.4.2 Design-Prinzipien</w:t>
      </w:r>
    </w:p>
    <w:p w14:paraId="68B3A2AB" w14:textId="77777777" w:rsidR="00BF7CB4" w:rsidRDefault="00000000">
      <w:pPr>
        <w:spacing w:after="200"/>
        <w:jc w:val="both"/>
      </w:pPr>
      <w:r>
        <w:t>Die Gestaltung des Artefakts wird durch fünf Design-Prinzipien geleitet, die aus dem Anforderungskatalog (Kap. 4) abgeleitet und durch die Wissensbasis fundiert werden. Die Design-Prinzipien operationalisieren die Verbindung zwischen normativen Anforderungen und technischer Architekturgestaltung.</w:t>
      </w:r>
    </w:p>
    <w:p w14:paraId="68B3A2AC" w14:textId="77777777" w:rsidR="00BF7CB4" w:rsidRDefault="00000000">
      <w:pPr>
        <w:spacing w:before="120" w:after="240"/>
      </w:pPr>
      <w:r>
        <w:rPr>
          <w:i/>
          <w:iCs/>
          <w:sz w:val="22"/>
          <w:szCs w:val="22"/>
        </w:rPr>
        <w:t>Tabelle 5: Design-Prinzipien des Artefakts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5670"/>
      </w:tblGrid>
      <w:tr w:rsidR="00BF7CB4" w14:paraId="68B3A2B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AD" w14:textId="77777777" w:rsidR="00BF7CB4" w:rsidRDefault="00000000">
            <w:pPr>
              <w:spacing w:line="240" w:lineRule="auto"/>
            </w:pPr>
            <w:r>
              <w:rPr>
                <w:b/>
                <w:bCs/>
                <w:sz w:val="20"/>
                <w:szCs w:val="20"/>
              </w:rPr>
              <w:t>DP</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AE" w14:textId="77777777" w:rsidR="00BF7CB4" w:rsidRDefault="00000000">
            <w:pPr>
              <w:spacing w:line="240" w:lineRule="auto"/>
            </w:pPr>
            <w:r>
              <w:rPr>
                <w:b/>
                <w:bCs/>
                <w:sz w:val="20"/>
                <w:szCs w:val="20"/>
              </w:rPr>
              <w:t>Prinzip</w:t>
            </w:r>
          </w:p>
        </w:tc>
        <w:tc>
          <w:tcPr>
            <w:tcW w:w="56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AF" w14:textId="77777777" w:rsidR="00BF7CB4" w:rsidRDefault="00000000">
            <w:pPr>
              <w:spacing w:line="240" w:lineRule="auto"/>
            </w:pPr>
            <w:r>
              <w:rPr>
                <w:b/>
                <w:bCs/>
                <w:sz w:val="20"/>
                <w:szCs w:val="20"/>
              </w:rPr>
              <w:t>Beschreibung</w:t>
            </w:r>
          </w:p>
        </w:tc>
      </w:tr>
      <w:tr w:rsidR="00BF7CB4" w14:paraId="68B3A2B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1" w14:textId="77777777" w:rsidR="00BF7CB4" w:rsidRDefault="00000000">
            <w:pPr>
              <w:spacing w:line="240" w:lineRule="auto"/>
            </w:pPr>
            <w:r>
              <w:rPr>
                <w:sz w:val="20"/>
                <w:szCs w:val="20"/>
              </w:rPr>
              <w:t>DP1</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2" w14:textId="77777777" w:rsidR="00BF7CB4" w:rsidRDefault="00000000">
            <w:pPr>
              <w:spacing w:line="240" w:lineRule="auto"/>
            </w:pPr>
            <w:r>
              <w:rPr>
                <w:sz w:val="20"/>
                <w:szCs w:val="20"/>
              </w:rPr>
              <w:t>Compliance als kontrollierbarer Lifecycle-Prozess</w:t>
            </w:r>
          </w:p>
        </w:tc>
        <w:tc>
          <w:tcPr>
            <w:tcW w:w="56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3" w14:textId="77777777" w:rsidR="00BF7CB4" w:rsidRDefault="00000000">
            <w:pPr>
              <w:spacing w:line="240" w:lineRule="auto"/>
            </w:pPr>
            <w:r>
              <w:rPr>
                <w:sz w:val="20"/>
                <w:szCs w:val="20"/>
              </w:rPr>
              <w:t xml:space="preserve">Compliance wird nicht nachträglich dokumentiert, sondern als Gate-basierter Kontrollprozess über den gesamten </w:t>
            </w:r>
            <w:proofErr w:type="spellStart"/>
            <w:r>
              <w:rPr>
                <w:sz w:val="20"/>
                <w:szCs w:val="20"/>
              </w:rPr>
              <w:t>GenAI</w:t>
            </w:r>
            <w:proofErr w:type="spellEnd"/>
            <w:r>
              <w:rPr>
                <w:sz w:val="20"/>
                <w:szCs w:val="20"/>
              </w:rPr>
              <w:t>-Lifecycle operationalisiert</w:t>
            </w:r>
          </w:p>
        </w:tc>
      </w:tr>
      <w:tr w:rsidR="00BF7CB4" w14:paraId="68B3A2B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5" w14:textId="77777777" w:rsidR="00BF7CB4" w:rsidRDefault="00000000">
            <w:pPr>
              <w:spacing w:line="240" w:lineRule="auto"/>
            </w:pPr>
            <w:r>
              <w:rPr>
                <w:sz w:val="20"/>
                <w:szCs w:val="20"/>
              </w:rPr>
              <w:t>DP2</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6" w14:textId="77777777" w:rsidR="00BF7CB4" w:rsidRDefault="00000000">
            <w:pPr>
              <w:spacing w:line="240" w:lineRule="auto"/>
            </w:pPr>
            <w:r>
              <w:rPr>
                <w:sz w:val="20"/>
                <w:szCs w:val="20"/>
              </w:rPr>
              <w:t xml:space="preserve">Anforderungen → </w:t>
            </w:r>
            <w:proofErr w:type="spellStart"/>
            <w:r>
              <w:rPr>
                <w:sz w:val="20"/>
                <w:szCs w:val="20"/>
              </w:rPr>
              <w:t>Policies</w:t>
            </w:r>
            <w:proofErr w:type="spellEnd"/>
            <w:r>
              <w:rPr>
                <w:sz w:val="20"/>
                <w:szCs w:val="20"/>
              </w:rPr>
              <w:t xml:space="preserve"> → Evidenz (</w:t>
            </w:r>
            <w:proofErr w:type="spellStart"/>
            <w:r>
              <w:rPr>
                <w:sz w:val="20"/>
                <w:szCs w:val="20"/>
              </w:rPr>
              <w:t>Traceability</w:t>
            </w:r>
            <w:proofErr w:type="spellEnd"/>
            <w:r>
              <w:rPr>
                <w:sz w:val="20"/>
                <w:szCs w:val="20"/>
              </w:rPr>
              <w:t>-Kette)</w:t>
            </w:r>
          </w:p>
        </w:tc>
        <w:tc>
          <w:tcPr>
            <w:tcW w:w="56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7" w14:textId="77777777" w:rsidR="00BF7CB4" w:rsidRDefault="00000000">
            <w:pPr>
              <w:spacing w:line="240" w:lineRule="auto"/>
            </w:pPr>
            <w:r>
              <w:rPr>
                <w:sz w:val="20"/>
                <w:szCs w:val="20"/>
              </w:rPr>
              <w:t xml:space="preserve">Jede High-Risk-Anforderung wird in eine Policy (übersetzt in </w:t>
            </w:r>
            <w:proofErr w:type="spellStart"/>
            <w:r>
              <w:rPr>
                <w:sz w:val="20"/>
                <w:szCs w:val="20"/>
              </w:rPr>
              <w:t>PaC</w:t>
            </w:r>
            <w:proofErr w:type="spellEnd"/>
            <w:r>
              <w:rPr>
                <w:sz w:val="20"/>
                <w:szCs w:val="20"/>
              </w:rPr>
              <w:t xml:space="preserve"> oder kontrollierbare Regel), die automatisch oder manuell Evidenz erzeugt, die </w:t>
            </w:r>
            <w:proofErr w:type="spellStart"/>
            <w:r>
              <w:rPr>
                <w:sz w:val="20"/>
                <w:szCs w:val="20"/>
              </w:rPr>
              <w:t>auditierbar</w:t>
            </w:r>
            <w:proofErr w:type="spellEnd"/>
            <w:r>
              <w:rPr>
                <w:sz w:val="20"/>
                <w:szCs w:val="20"/>
              </w:rPr>
              <w:t xml:space="preserve"> verknüpft ist</w:t>
            </w:r>
          </w:p>
        </w:tc>
      </w:tr>
      <w:tr w:rsidR="00BF7CB4" w14:paraId="68B3A2B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9" w14:textId="77777777" w:rsidR="00BF7CB4" w:rsidRDefault="00000000">
            <w:pPr>
              <w:spacing w:line="240" w:lineRule="auto"/>
            </w:pPr>
            <w:r>
              <w:rPr>
                <w:sz w:val="20"/>
                <w:szCs w:val="20"/>
              </w:rPr>
              <w:t>DP3</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A" w14:textId="77777777" w:rsidR="00BF7CB4" w:rsidRDefault="00000000">
            <w:pPr>
              <w:spacing w:line="240" w:lineRule="auto"/>
            </w:pPr>
            <w:r>
              <w:rPr>
                <w:sz w:val="20"/>
                <w:szCs w:val="20"/>
              </w:rPr>
              <w:t>Gate-Template als Standardisierungseinheit</w:t>
            </w:r>
          </w:p>
        </w:tc>
        <w:tc>
          <w:tcPr>
            <w:tcW w:w="56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B" w14:textId="77777777" w:rsidR="00BF7CB4" w:rsidRDefault="00000000">
            <w:pPr>
              <w:spacing w:line="240" w:lineRule="auto"/>
            </w:pPr>
            <w:r>
              <w:rPr>
                <w:sz w:val="20"/>
                <w:szCs w:val="20"/>
              </w:rPr>
              <w:t xml:space="preserve">Einheitliches Gate-Template (Trigger, </w:t>
            </w:r>
            <w:proofErr w:type="spellStart"/>
            <w:r>
              <w:rPr>
                <w:sz w:val="20"/>
                <w:szCs w:val="20"/>
              </w:rPr>
              <w:t>Evidence</w:t>
            </w:r>
            <w:proofErr w:type="spellEnd"/>
            <w:r>
              <w:rPr>
                <w:sz w:val="20"/>
                <w:szCs w:val="20"/>
              </w:rPr>
              <w:t xml:space="preserve">, Policy, </w:t>
            </w:r>
            <w:proofErr w:type="spellStart"/>
            <w:r>
              <w:rPr>
                <w:sz w:val="20"/>
                <w:szCs w:val="20"/>
              </w:rPr>
              <w:t>Decision</w:t>
            </w:r>
            <w:proofErr w:type="spellEnd"/>
            <w:r>
              <w:rPr>
                <w:sz w:val="20"/>
                <w:szCs w:val="20"/>
              </w:rPr>
              <w:t xml:space="preserve">, </w:t>
            </w:r>
            <w:proofErr w:type="spellStart"/>
            <w:r>
              <w:rPr>
                <w:sz w:val="20"/>
                <w:szCs w:val="20"/>
              </w:rPr>
              <w:t>Owner</w:t>
            </w:r>
            <w:proofErr w:type="spellEnd"/>
            <w:r>
              <w:rPr>
                <w:sz w:val="20"/>
                <w:szCs w:val="20"/>
              </w:rPr>
              <w:t xml:space="preserve">, Audit Trail, Waiver) stellt Konsistenz, </w:t>
            </w:r>
            <w:proofErr w:type="spellStart"/>
            <w:r>
              <w:rPr>
                <w:sz w:val="20"/>
                <w:szCs w:val="20"/>
              </w:rPr>
              <w:t>Auditierbarkeit</w:t>
            </w:r>
            <w:proofErr w:type="spellEnd"/>
            <w:r>
              <w:rPr>
                <w:sz w:val="20"/>
                <w:szCs w:val="20"/>
              </w:rPr>
              <w:t xml:space="preserve"> und Wiederverwendbarkeit sicher</w:t>
            </w:r>
          </w:p>
        </w:tc>
      </w:tr>
      <w:tr w:rsidR="00BF7CB4" w14:paraId="68B3A2C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D" w14:textId="77777777" w:rsidR="00BF7CB4" w:rsidRDefault="00000000">
            <w:pPr>
              <w:spacing w:line="240" w:lineRule="auto"/>
            </w:pPr>
            <w:r>
              <w:rPr>
                <w:sz w:val="20"/>
                <w:szCs w:val="20"/>
              </w:rPr>
              <w:t>DP4</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E" w14:textId="77777777" w:rsidR="00BF7CB4" w:rsidRDefault="00000000">
            <w:pPr>
              <w:spacing w:line="240" w:lineRule="auto"/>
            </w:pPr>
            <w:r>
              <w:rPr>
                <w:sz w:val="20"/>
                <w:szCs w:val="20"/>
              </w:rPr>
              <w:t xml:space="preserve">Trennung von </w:t>
            </w:r>
            <w:proofErr w:type="spellStart"/>
            <w:r>
              <w:rPr>
                <w:sz w:val="20"/>
                <w:szCs w:val="20"/>
              </w:rPr>
              <w:t>Governance</w:t>
            </w:r>
            <w:proofErr w:type="spellEnd"/>
            <w:r>
              <w:rPr>
                <w:sz w:val="20"/>
                <w:szCs w:val="20"/>
              </w:rPr>
              <w:t>-Ebenen, integrierte Entscheidung</w:t>
            </w:r>
          </w:p>
        </w:tc>
        <w:tc>
          <w:tcPr>
            <w:tcW w:w="56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BF" w14:textId="77777777" w:rsidR="00BF7CB4" w:rsidRDefault="00000000">
            <w:pPr>
              <w:spacing w:line="240" w:lineRule="auto"/>
            </w:pPr>
            <w:r>
              <w:rPr>
                <w:sz w:val="20"/>
                <w:szCs w:val="20"/>
              </w:rPr>
              <w:t>Strategische, technische und Compliance-Gates werden getrennt modelliert, aber über gemeinsame Artefakte und Entscheidungslogik gekoppelt</w:t>
            </w:r>
          </w:p>
        </w:tc>
      </w:tr>
      <w:tr w:rsidR="00BF7CB4" w14:paraId="68B3A2C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C1" w14:textId="77777777" w:rsidR="00BF7CB4" w:rsidRDefault="00000000">
            <w:pPr>
              <w:spacing w:line="240" w:lineRule="auto"/>
            </w:pPr>
            <w:r>
              <w:rPr>
                <w:sz w:val="20"/>
                <w:szCs w:val="20"/>
              </w:rPr>
              <w:t>DP5</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C2" w14:textId="77777777" w:rsidR="00BF7CB4" w:rsidRDefault="00000000">
            <w:pPr>
              <w:spacing w:line="240" w:lineRule="auto"/>
            </w:pPr>
            <w:r>
              <w:rPr>
                <w:sz w:val="20"/>
                <w:szCs w:val="20"/>
              </w:rPr>
              <w:t xml:space="preserve">Cloud-native </w:t>
            </w:r>
            <w:proofErr w:type="spellStart"/>
            <w:r>
              <w:rPr>
                <w:sz w:val="20"/>
                <w:szCs w:val="20"/>
              </w:rPr>
              <w:t>Integierbarkeit</w:t>
            </w:r>
            <w:proofErr w:type="spellEnd"/>
          </w:p>
        </w:tc>
        <w:tc>
          <w:tcPr>
            <w:tcW w:w="56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C3" w14:textId="77777777" w:rsidR="00BF7CB4" w:rsidRDefault="00000000">
            <w:pPr>
              <w:spacing w:line="240" w:lineRule="auto"/>
            </w:pPr>
            <w:r>
              <w:rPr>
                <w:sz w:val="20"/>
                <w:szCs w:val="20"/>
              </w:rPr>
              <w:t xml:space="preserve">Das Kontrollsystem muss in bestehende </w:t>
            </w:r>
            <w:proofErr w:type="spellStart"/>
            <w:r>
              <w:rPr>
                <w:sz w:val="20"/>
                <w:szCs w:val="20"/>
              </w:rPr>
              <w:t>cloud</w:t>
            </w:r>
            <w:proofErr w:type="spellEnd"/>
            <w:r>
              <w:rPr>
                <w:sz w:val="20"/>
                <w:szCs w:val="20"/>
              </w:rPr>
              <w:t>-native CI/CD/CT-</w:t>
            </w:r>
            <w:proofErr w:type="spellStart"/>
            <w:r>
              <w:rPr>
                <w:sz w:val="20"/>
                <w:szCs w:val="20"/>
              </w:rPr>
              <w:t>Toolchains</w:t>
            </w:r>
            <w:proofErr w:type="spellEnd"/>
            <w:r>
              <w:rPr>
                <w:sz w:val="20"/>
                <w:szCs w:val="20"/>
              </w:rPr>
              <w:t xml:space="preserve"> integrierbar sein, ohne proprietäre Abhängigkeiten zu erzeugen</w:t>
            </w:r>
          </w:p>
        </w:tc>
      </w:tr>
    </w:tbl>
    <w:p w14:paraId="68B3A2C5" w14:textId="77777777" w:rsidR="00BF7CB4" w:rsidRDefault="00000000">
      <w:pPr>
        <w:pStyle w:val="berschrift3"/>
        <w:spacing w:before="360" w:after="240"/>
      </w:pPr>
      <w:r>
        <w:t xml:space="preserve">3.4.3 </w:t>
      </w:r>
      <w:proofErr w:type="spellStart"/>
      <w:r>
        <w:t>Scope</w:t>
      </w:r>
      <w:proofErr w:type="spellEnd"/>
      <w:r>
        <w:t xml:space="preserve"> und Abgrenzung</w:t>
      </w:r>
    </w:p>
    <w:p w14:paraId="68B3A2C6" w14:textId="77777777" w:rsidR="00BF7CB4" w:rsidRDefault="00000000">
      <w:pPr>
        <w:spacing w:after="200"/>
        <w:jc w:val="both"/>
      </w:pPr>
      <w:r>
        <w:t xml:space="preserve">Der </w:t>
      </w:r>
      <w:proofErr w:type="spellStart"/>
      <w:r>
        <w:t>Scope</w:t>
      </w:r>
      <w:proofErr w:type="spellEnd"/>
      <w:r>
        <w:t xml:space="preserve"> der Arbeit ist auf hochriskante </w:t>
      </w:r>
      <w:proofErr w:type="spellStart"/>
      <w:r>
        <w:t>GenAI</w:t>
      </w:r>
      <w:proofErr w:type="spellEnd"/>
      <w:r>
        <w:t xml:space="preserve">-Systeme im Sinne des EU AI Act (Verordnung 2024/1689, Anhang III) begrenzt. Die Referenzarchitektur wird generisch konzipiert, um domänenübergreifend anwendbar zu sein; die Instanziierung im Proof </w:t>
      </w:r>
      <w:proofErr w:type="spellStart"/>
      <w:r>
        <w:t>of</w:t>
      </w:r>
      <w:proofErr w:type="spellEnd"/>
      <w:r>
        <w:t xml:space="preserve"> Concept erfolgt exemplarisch in der Domäne </w:t>
      </w:r>
      <w:proofErr w:type="spellStart"/>
      <w:r>
        <w:t>Healthcare</w:t>
      </w:r>
      <w:proofErr w:type="spellEnd"/>
      <w:r>
        <w:t xml:space="preserve">. Diese Trennung zwischen </w:t>
      </w:r>
      <w:r>
        <w:lastRenderedPageBreak/>
        <w:t xml:space="preserve">generischem Architekturdesign und domänenspezifischer Instanziierung entspricht der von </w:t>
      </w:r>
      <w:proofErr w:type="spellStart"/>
      <w:r>
        <w:t>Hevner</w:t>
      </w:r>
      <w:proofErr w:type="spellEnd"/>
      <w:r>
        <w:t xml:space="preserve"> et al. (2004, S. 83, G7) geforderten zielgruppengerechten Kommunikation.</w:t>
      </w:r>
    </w:p>
    <w:p w14:paraId="68B3A2C7" w14:textId="77777777" w:rsidR="00BF7CB4" w:rsidRDefault="00000000">
      <w:pPr>
        <w:spacing w:after="200"/>
        <w:jc w:val="both"/>
      </w:pPr>
      <w:r>
        <w:t xml:space="preserve">Die Arbeit grenzt sich explizit von einer Produktentwicklung ab. Das Artefakt ist eine Referenzarchitektur im Sinne der Forschung – eine abstrahierte, wiederverwendbare Architekturvorlage mit definiertem Abstraktionsgrad –, kein marktreifes Produkt. Der Proof </w:t>
      </w:r>
      <w:proofErr w:type="spellStart"/>
      <w:r>
        <w:t>of</w:t>
      </w:r>
      <w:proofErr w:type="spellEnd"/>
      <w:r>
        <w:t xml:space="preserve"> Concept dient ausschließlich der Demonstration der technischen Machbarkeit (DSRM-Schritt 4) und der Evaluation (DSRM-Schritt 5), nicht der Produktivstellung.</w:t>
      </w:r>
    </w:p>
    <w:p w14:paraId="68B3A2C8" w14:textId="77777777" w:rsidR="00BF7CB4" w:rsidRDefault="00000000">
      <w:pPr>
        <w:pStyle w:val="berschrift2"/>
      </w:pPr>
      <w:r>
        <w:t>3.5 Anforderungserhebung und -analyse</w:t>
      </w:r>
    </w:p>
    <w:p w14:paraId="68B3A2C9" w14:textId="77777777" w:rsidR="00BF7CB4" w:rsidRDefault="00000000">
      <w:pPr>
        <w:spacing w:after="200"/>
        <w:jc w:val="both"/>
      </w:pPr>
      <w:r>
        <w:t xml:space="preserve">Die Anforderungserhebung bildet den </w:t>
      </w:r>
      <w:proofErr w:type="spellStart"/>
      <w:r>
        <w:t>Relevance</w:t>
      </w:r>
      <w:proofErr w:type="spellEnd"/>
      <w:r>
        <w:t xml:space="preserve"> Cycle der vorliegenden Arbeit und überführt normative Anforderungen systematisch in einen strukturierten Anforderungskatalog (R-Katalog). Dieser Katalog dient als Eingabe für den Design Cycle und als Referenz für die spätere Evaluation.</w:t>
      </w:r>
    </w:p>
    <w:p w14:paraId="68B3A2CA" w14:textId="77777777" w:rsidR="00BF7CB4" w:rsidRDefault="00000000">
      <w:pPr>
        <w:spacing w:after="200"/>
        <w:jc w:val="both"/>
      </w:pPr>
      <w:r>
        <w:t xml:space="preserve">Die Erhebung erfolgt auf Basis dreier Quellenkategorien: (1) regulatorische Primärquellen, insbesondere die Art. 9–15 des EU AI Act (VO 2024/1689) sowie die Anhänge III und IV, (2) normative Rahmenwerke, insbesondere ISO 42001:2023 (AI Management Systems) und ISO 27001 (Informationssicherheit), sowie (3) die wissenschaftliche Fachliteratur zu </w:t>
      </w:r>
      <w:proofErr w:type="spellStart"/>
      <w:r>
        <w:t>MLOps</w:t>
      </w:r>
      <w:proofErr w:type="spellEnd"/>
      <w:r>
        <w:t xml:space="preserve">, Referenzarchitekturen und AI </w:t>
      </w:r>
      <w:proofErr w:type="spellStart"/>
      <w:r>
        <w:t>Governance</w:t>
      </w:r>
      <w:proofErr w:type="spellEnd"/>
      <w:r>
        <w:t>. Durch diese Triangulation der Quellenbasis wird sichergestellt, dass der Anforderungskatalog sowohl regulatorisch vollständig als auch technisch operationalisierbar und wissenschaftlich fundiert ist.</w:t>
      </w:r>
    </w:p>
    <w:p w14:paraId="68B3A2CB" w14:textId="77777777" w:rsidR="00BF7CB4" w:rsidRDefault="00000000">
      <w:pPr>
        <w:spacing w:after="200"/>
        <w:jc w:val="both"/>
      </w:pPr>
      <w:r>
        <w:t>Die erhobenen Anforderungen werden nach dem MUSS/SOLL-Schema klassifiziert: MUSS-Anforderungen leiten sich direkt aus regulatorischen Vorgaben ab und sind für die Konformität zwingend erforderlich. SOLL-Anforderungen ergänzen den Katalog um fachlich empfohlene Praktiken aus Literatur und Normung, die die Qualität und Praxistauglichkeit der Architektur erhöhen, aber keine regulatorische Pflicht darstellen. Die Detaildarstellung des Anforderungskatalogs erfolgt in Kapitel 4.</w:t>
      </w:r>
    </w:p>
    <w:p w14:paraId="68B3A2CC" w14:textId="77777777" w:rsidR="00BF7CB4" w:rsidRDefault="00000000">
      <w:pPr>
        <w:pStyle w:val="berschrift2"/>
      </w:pPr>
      <w:r>
        <w:t xml:space="preserve">3.6 </w:t>
      </w:r>
      <w:proofErr w:type="spellStart"/>
      <w:r>
        <w:t>Traceability</w:t>
      </w:r>
      <w:proofErr w:type="spellEnd"/>
      <w:r>
        <w:t>-Ansatz</w:t>
      </w:r>
    </w:p>
    <w:p w14:paraId="68B3A2CD" w14:textId="77777777" w:rsidR="00BF7CB4" w:rsidRDefault="00000000">
      <w:pPr>
        <w:spacing w:after="200"/>
        <w:jc w:val="both"/>
      </w:pPr>
      <w:r>
        <w:t>Ein zentrales methodisches Merkmal der vorliegenden Arbeit ist die durchgehende Nachverfolgbarkeit (</w:t>
      </w:r>
      <w:proofErr w:type="spellStart"/>
      <w:r>
        <w:rPr>
          <w:i/>
          <w:iCs/>
        </w:rPr>
        <w:t>Traceability</w:t>
      </w:r>
      <w:proofErr w:type="spellEnd"/>
      <w:r>
        <w:t xml:space="preserve">) von der Forschungsfrage über die Anforderung bis zum Evaluationsnachweis. Dieser Ansatz dient zwei Zwecken: Erstens sichert er die interne </w:t>
      </w:r>
      <w:r>
        <w:lastRenderedPageBreak/>
        <w:t>Konsistenz des Forschungsprozesses, indem jede Designentscheidung auf eine explizite Anforderung zurückgeführt werden kann. Zweitens stärkt er die Validität der Evaluation, da die Evaluationskriterien direkt aus den Anforderungen abgeleitet werden und somit die Bewertung des Artefakts auf eine nachvollziehbare Grundlage gestellt wird.</w:t>
      </w:r>
    </w:p>
    <w:p w14:paraId="68B3A2CE" w14:textId="77777777" w:rsidR="00BF7CB4" w:rsidRDefault="00000000">
      <w:pPr>
        <w:spacing w:after="200"/>
        <w:jc w:val="both"/>
      </w:pPr>
      <w:r>
        <w:t xml:space="preserve">Die </w:t>
      </w:r>
      <w:proofErr w:type="spellStart"/>
      <w:r>
        <w:t>Traceability</w:t>
      </w:r>
      <w:proofErr w:type="spellEnd"/>
      <w:r>
        <w:t xml:space="preserve">-Kette verläuft entlang folgender Elemente: Forschungsfrage (RQ) → Anforderung (R) → Design-Prinzip (DP) → Quality Gate (Gate) → </w:t>
      </w:r>
      <w:proofErr w:type="spellStart"/>
      <w:r>
        <w:t>Evidence</w:t>
      </w:r>
      <w:proofErr w:type="spellEnd"/>
      <w:r>
        <w:t xml:space="preserve">-Artefakt → Evaluationskriterium. Jedes Element ist über eine eindeutige Kennung </w:t>
      </w:r>
      <w:proofErr w:type="spellStart"/>
      <w:r>
        <w:t>referenzierbar</w:t>
      </w:r>
      <w:proofErr w:type="spellEnd"/>
      <w:r>
        <w:t>, sodass bidirektionale Nachverfolgbarkeit gewährleistet ist: Von jeder Forschungsfrage lässt sich vorwärts bis zum Evaluationsnachweis navigieren, und von jedem Gate rückwärts bis zur regulatorischen Anforderung.</w:t>
      </w:r>
    </w:p>
    <w:p w14:paraId="68B3A2CF" w14:textId="77777777" w:rsidR="00BF7CB4" w:rsidRDefault="00000000">
      <w:pPr>
        <w:spacing w:after="200"/>
        <w:jc w:val="both"/>
      </w:pPr>
      <w:r>
        <w:t xml:space="preserve">Dieser </w:t>
      </w:r>
      <w:proofErr w:type="spellStart"/>
      <w:r>
        <w:t>Traceability</w:t>
      </w:r>
      <w:proofErr w:type="spellEnd"/>
      <w:r>
        <w:t xml:space="preserve">-Ansatz reflektiert die von </w:t>
      </w:r>
      <w:proofErr w:type="spellStart"/>
      <w:r>
        <w:t>Hevner</w:t>
      </w:r>
      <w:proofErr w:type="spellEnd"/>
      <w:r>
        <w:t xml:space="preserve"> et al. (2004, S. 83, G5) geforderte Forschungsrigorosität, indem er die Konstruktionsentscheidungen transparent und reproduzierbar dokumentiert. Er operationalisiert zugleich das Prinzip DP2 (</w:t>
      </w:r>
      <w:proofErr w:type="spellStart"/>
      <w:r>
        <w:t>Traceability</w:t>
      </w:r>
      <w:proofErr w:type="spellEnd"/>
      <w:r>
        <w:t>-Kette) auf methodischer Ebene.</w:t>
      </w:r>
    </w:p>
    <w:p w14:paraId="68B3A2D0" w14:textId="77777777" w:rsidR="00BF7CB4" w:rsidRDefault="00000000">
      <w:pPr>
        <w:pStyle w:val="berschrift2"/>
      </w:pPr>
      <w:r>
        <w:t>3.7 Evaluationsdesign</w:t>
      </w:r>
    </w:p>
    <w:p w14:paraId="68B3A2D1" w14:textId="77777777" w:rsidR="00BF7CB4" w:rsidRDefault="00000000">
      <w:pPr>
        <w:spacing w:after="200"/>
        <w:jc w:val="both"/>
      </w:pPr>
      <w:r>
        <w:t xml:space="preserve">Die Evaluation des Artefakts folgt einer dreistufigen Strategie, die unterschiedliche Evaluationsziele durch komplementäre Methoden adressiert. Diese Mehrstufigkeit entspricht der Forderung von </w:t>
      </w:r>
      <w:proofErr w:type="spellStart"/>
      <w:r>
        <w:t>Hevner</w:t>
      </w:r>
      <w:proofErr w:type="spellEnd"/>
      <w:r>
        <w:t xml:space="preserve"> et al. (2004, S. 83, G3), dass Nützlichkeit, Qualität und Wirksamkeit eines Artefakts rigoros durch geeignete Evaluationsmethoden nachgewiesen werden müssen.</w:t>
      </w:r>
    </w:p>
    <w:p w14:paraId="68B3A2D2" w14:textId="77777777" w:rsidR="00BF7CB4" w:rsidRDefault="00000000">
      <w:pPr>
        <w:spacing w:after="200"/>
        <w:jc w:val="both"/>
      </w:pPr>
      <w:r>
        <w:rPr>
          <w:b/>
          <w:bCs/>
        </w:rPr>
        <w:t>Stufe (a): Requirements-Coverage-Matrix.</w:t>
      </w:r>
      <w:r>
        <w:t xml:space="preserve"> Die erste Evaluationsstufe prüft die Vollständigkeit des Artefakts gegenüber dem Anforderungskatalog. Für jede Anforderung (R1–</w:t>
      </w:r>
      <w:proofErr w:type="spellStart"/>
      <w:r>
        <w:t>Rn</w:t>
      </w:r>
      <w:proofErr w:type="spellEnd"/>
      <w:r>
        <w:t>) wird dokumentiert, welche architekturellen Komponenten, Gates und Design-Prinzipien sie adressieren. Diese Stufe beantwortet die Frage, ob das Artefakt den gesamten Anforderungsraum abdeckt.</w:t>
      </w:r>
    </w:p>
    <w:p w14:paraId="68B3A2D3" w14:textId="77777777" w:rsidR="00BF7CB4" w:rsidRDefault="00000000">
      <w:pPr>
        <w:spacing w:after="200"/>
        <w:jc w:val="both"/>
      </w:pPr>
      <w:r>
        <w:rPr>
          <w:b/>
          <w:bCs/>
        </w:rPr>
        <w:t>Stufe (b): Proof-</w:t>
      </w:r>
      <w:proofErr w:type="spellStart"/>
      <w:r>
        <w:rPr>
          <w:b/>
          <w:bCs/>
        </w:rPr>
        <w:t>of</w:t>
      </w:r>
      <w:proofErr w:type="spellEnd"/>
      <w:r>
        <w:rPr>
          <w:b/>
          <w:bCs/>
        </w:rPr>
        <w:t>-Concept-Walkthrough.</w:t>
      </w:r>
      <w:r>
        <w:t xml:space="preserve"> Die zweite Evaluationsstufe demonstriert die technische Machbarkeit der Architektur durch einen Walkthrough des Azure-basierten PoC. Dieser umfasst die Ausführung ausgewählter Quality Gates, die Überprüfung der Policy-</w:t>
      </w:r>
      <w:proofErr w:type="spellStart"/>
      <w:r>
        <w:t>Enforcement</w:t>
      </w:r>
      <w:proofErr w:type="spellEnd"/>
      <w:r>
        <w:t>-Mechanismen (OPA/Rego) und den Nachweis der Evidenzsicherung (</w:t>
      </w:r>
      <w:proofErr w:type="spellStart"/>
      <w:r>
        <w:t>immutable</w:t>
      </w:r>
      <w:proofErr w:type="spellEnd"/>
      <w:r>
        <w:t xml:space="preserve"> Storage). Die Stufe entspricht DSRM-Schritt 4 (</w:t>
      </w:r>
      <w:r>
        <w:rPr>
          <w:i/>
          <w:iCs/>
        </w:rPr>
        <w:t>Demonstration</w:t>
      </w:r>
      <w:r>
        <w:t xml:space="preserve">) nach </w:t>
      </w:r>
      <w:proofErr w:type="spellStart"/>
      <w:r>
        <w:t>Peffers</w:t>
      </w:r>
      <w:proofErr w:type="spellEnd"/>
      <w:r>
        <w:t xml:space="preserve"> et al. (2007, S. 55).</w:t>
      </w:r>
    </w:p>
    <w:p w14:paraId="68B3A2D4" w14:textId="77777777" w:rsidR="00BF7CB4" w:rsidRDefault="00000000">
      <w:pPr>
        <w:spacing w:after="200"/>
        <w:jc w:val="both"/>
      </w:pPr>
      <w:r>
        <w:rPr>
          <w:b/>
          <w:bCs/>
        </w:rPr>
        <w:lastRenderedPageBreak/>
        <w:t>Stufe (c): Expert-Reviews.</w:t>
      </w:r>
      <w:r>
        <w:t xml:space="preserve"> Die dritte Evaluationsstufe erhebt die Einschätzung von Domänenexperten (n ≥ 3) zur Praxistauglichkeit, Vollständigkeit und Anwendbarkeit der Referenzarchitektur. Diese qualitative Evaluation ergänzt die analytischen Stufen (a) und (b) um eine praxisnahe Perspektive und adressiert insbesondere die Frage der </w:t>
      </w:r>
      <w:r>
        <w:rPr>
          <w:i/>
          <w:iCs/>
        </w:rPr>
        <w:t>Utility</w:t>
      </w:r>
      <w:r>
        <w:t xml:space="preserve"> im realen Enterprise-Kontext.</w:t>
      </w:r>
    </w:p>
    <w:p w14:paraId="68B3A2D5" w14:textId="77777777" w:rsidR="00BF7CB4" w:rsidRDefault="00000000">
      <w:pPr>
        <w:spacing w:after="200"/>
        <w:jc w:val="both"/>
      </w:pPr>
      <w:r>
        <w:t>Die Evaluationskriterien sind entlang der drei Gate-Dimensionen (strategisch, technisch, Compliance) strukturiert. Tabelle 6 zeigt die Zuordnung der Kriterien zu Methoden und Evaluationsstufen.</w:t>
      </w:r>
    </w:p>
    <w:p w14:paraId="68B3A2D6" w14:textId="77777777" w:rsidR="00BF7CB4" w:rsidRDefault="00000000">
      <w:pPr>
        <w:spacing w:before="120" w:after="240"/>
      </w:pPr>
      <w:r>
        <w:rPr>
          <w:i/>
          <w:iCs/>
          <w:sz w:val="22"/>
          <w:szCs w:val="22"/>
        </w:rPr>
        <w:t>Tabelle 6: Evaluationskriterien nach Gate-Dimensionen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470"/>
        <w:gridCol w:w="2000"/>
      </w:tblGrid>
      <w:tr w:rsidR="00BF7CB4" w14:paraId="68B3A2D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D7" w14:textId="77777777" w:rsidR="00BF7CB4" w:rsidRDefault="00000000">
            <w:pPr>
              <w:spacing w:line="240" w:lineRule="auto"/>
            </w:pPr>
            <w:r>
              <w:rPr>
                <w:b/>
                <w:bCs/>
                <w:sz w:val="20"/>
                <w:szCs w:val="20"/>
              </w:rPr>
              <w:t>Gate-Dimension</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D8" w14:textId="77777777" w:rsidR="00BF7CB4" w:rsidRDefault="00000000">
            <w:pPr>
              <w:spacing w:line="240" w:lineRule="auto"/>
            </w:pPr>
            <w:r>
              <w:rPr>
                <w:b/>
                <w:bCs/>
                <w:sz w:val="20"/>
                <w:szCs w:val="20"/>
              </w:rPr>
              <w:t>Kriterium</w:t>
            </w:r>
          </w:p>
        </w:tc>
        <w:tc>
          <w:tcPr>
            <w:tcW w:w="24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D9" w14:textId="77777777" w:rsidR="00BF7CB4" w:rsidRDefault="00000000">
            <w:pPr>
              <w:spacing w:line="240" w:lineRule="auto"/>
            </w:pPr>
            <w:r>
              <w:rPr>
                <w:b/>
                <w:bCs/>
                <w:sz w:val="20"/>
                <w:szCs w:val="20"/>
              </w:rPr>
              <w:t>Methode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3A2DA" w14:textId="77777777" w:rsidR="00BF7CB4" w:rsidRDefault="00000000">
            <w:pPr>
              <w:spacing w:line="240" w:lineRule="auto"/>
            </w:pPr>
            <w:r>
              <w:rPr>
                <w:b/>
                <w:bCs/>
                <w:sz w:val="20"/>
                <w:szCs w:val="20"/>
              </w:rPr>
              <w:t>Stufe</w:t>
            </w:r>
          </w:p>
        </w:tc>
      </w:tr>
      <w:tr w:rsidR="00BF7CB4" w14:paraId="68B3A2E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DC" w14:textId="77777777" w:rsidR="00BF7CB4" w:rsidRDefault="00000000">
            <w:pPr>
              <w:spacing w:line="240" w:lineRule="auto"/>
            </w:pPr>
            <w:r>
              <w:rPr>
                <w:sz w:val="20"/>
                <w:szCs w:val="20"/>
              </w:rPr>
              <w:t>Strategisch</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DD" w14:textId="77777777" w:rsidR="00BF7CB4" w:rsidRDefault="00000000">
            <w:pPr>
              <w:spacing w:line="240" w:lineRule="auto"/>
            </w:pPr>
            <w:r>
              <w:rPr>
                <w:sz w:val="20"/>
                <w:szCs w:val="20"/>
              </w:rPr>
              <w:t>Vollständigkeit (jede Phase ≥ 1 Gate)</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DE" w14:textId="77777777" w:rsidR="00BF7CB4" w:rsidRDefault="00000000">
            <w:pPr>
              <w:spacing w:line="240" w:lineRule="auto"/>
            </w:pPr>
            <w:r>
              <w:rPr>
                <w:sz w:val="20"/>
                <w:szCs w:val="20"/>
              </w:rPr>
              <w:t>Coverage-Matrix</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DF" w14:textId="77777777" w:rsidR="00BF7CB4" w:rsidRDefault="00000000">
            <w:pPr>
              <w:spacing w:line="240" w:lineRule="auto"/>
            </w:pPr>
            <w:r>
              <w:rPr>
                <w:sz w:val="20"/>
                <w:szCs w:val="20"/>
              </w:rPr>
              <w:t>(a)</w:t>
            </w:r>
          </w:p>
        </w:tc>
      </w:tr>
      <w:tr w:rsidR="00BF7CB4" w14:paraId="68B3A2E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1" w14:textId="77777777" w:rsidR="00BF7CB4" w:rsidRDefault="00000000">
            <w:pPr>
              <w:spacing w:line="240" w:lineRule="auto"/>
            </w:pPr>
            <w:r>
              <w:rPr>
                <w:sz w:val="20"/>
                <w:szCs w:val="20"/>
              </w:rPr>
              <w:t>Strategisch</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2" w14:textId="77777777" w:rsidR="00BF7CB4" w:rsidRDefault="00000000">
            <w:pPr>
              <w:spacing w:line="240" w:lineRule="auto"/>
            </w:pPr>
            <w:r>
              <w:rPr>
                <w:sz w:val="20"/>
                <w:szCs w:val="20"/>
              </w:rPr>
              <w:t>Nachvollziehbarkeit (Audit Trail)</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3" w14:textId="77777777" w:rsidR="00BF7CB4" w:rsidRDefault="00000000">
            <w:pPr>
              <w:spacing w:line="240" w:lineRule="auto"/>
            </w:pPr>
            <w:r>
              <w:rPr>
                <w:sz w:val="20"/>
                <w:szCs w:val="20"/>
              </w:rPr>
              <w:t>PoC-Walkthrough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4" w14:textId="77777777" w:rsidR="00BF7CB4" w:rsidRDefault="00000000">
            <w:pPr>
              <w:spacing w:line="240" w:lineRule="auto"/>
            </w:pPr>
            <w:r>
              <w:rPr>
                <w:sz w:val="20"/>
                <w:szCs w:val="20"/>
              </w:rPr>
              <w:t>(b)</w:t>
            </w:r>
          </w:p>
        </w:tc>
      </w:tr>
      <w:tr w:rsidR="00BF7CB4" w14:paraId="68B3A2E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6" w14:textId="77777777" w:rsidR="00BF7CB4" w:rsidRDefault="00000000">
            <w:pPr>
              <w:spacing w:line="240" w:lineRule="auto"/>
            </w:pPr>
            <w:r>
              <w:rPr>
                <w:sz w:val="20"/>
                <w:szCs w:val="20"/>
              </w:rPr>
              <w:t>Strategisch</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7" w14:textId="77777777" w:rsidR="00BF7CB4" w:rsidRDefault="00000000">
            <w:pPr>
              <w:spacing w:line="240" w:lineRule="auto"/>
            </w:pPr>
            <w:r>
              <w:rPr>
                <w:sz w:val="20"/>
                <w:szCs w:val="20"/>
              </w:rPr>
              <w:t>Praxistauglichkeit</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8" w14:textId="77777777" w:rsidR="00BF7CB4" w:rsidRDefault="00000000">
            <w:pPr>
              <w:spacing w:line="240" w:lineRule="auto"/>
            </w:pPr>
            <w:r>
              <w:rPr>
                <w:sz w:val="20"/>
                <w:szCs w:val="20"/>
              </w:rPr>
              <w:t>Expert-Review</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9" w14:textId="77777777" w:rsidR="00BF7CB4" w:rsidRDefault="00000000">
            <w:pPr>
              <w:spacing w:line="240" w:lineRule="auto"/>
            </w:pPr>
            <w:r>
              <w:rPr>
                <w:sz w:val="20"/>
                <w:szCs w:val="20"/>
              </w:rPr>
              <w:t>(c)</w:t>
            </w:r>
          </w:p>
        </w:tc>
      </w:tr>
      <w:tr w:rsidR="00BF7CB4" w14:paraId="68B3A2E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B" w14:textId="77777777" w:rsidR="00BF7CB4" w:rsidRDefault="00000000">
            <w:pPr>
              <w:spacing w:line="240" w:lineRule="auto"/>
            </w:pPr>
            <w:r>
              <w:rPr>
                <w:sz w:val="20"/>
                <w:szCs w:val="20"/>
              </w:rPr>
              <w:t>Technisch</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C" w14:textId="77777777" w:rsidR="00BF7CB4" w:rsidRDefault="00000000">
            <w:pPr>
              <w:spacing w:line="240" w:lineRule="auto"/>
            </w:pPr>
            <w:r>
              <w:rPr>
                <w:sz w:val="20"/>
                <w:szCs w:val="20"/>
              </w:rPr>
              <w:t>Korrektheit (OPA/Rego pass/fail)</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D" w14:textId="77777777" w:rsidR="00BF7CB4" w:rsidRDefault="00000000">
            <w:pPr>
              <w:spacing w:line="240" w:lineRule="auto"/>
            </w:pPr>
            <w:r>
              <w:rPr>
                <w:sz w:val="20"/>
                <w:szCs w:val="20"/>
              </w:rPr>
              <w:t>PoC-Walkthrough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EE" w14:textId="77777777" w:rsidR="00BF7CB4" w:rsidRDefault="00000000">
            <w:pPr>
              <w:spacing w:line="240" w:lineRule="auto"/>
            </w:pPr>
            <w:r>
              <w:rPr>
                <w:sz w:val="20"/>
                <w:szCs w:val="20"/>
              </w:rPr>
              <w:t>(b)</w:t>
            </w:r>
          </w:p>
        </w:tc>
      </w:tr>
      <w:tr w:rsidR="00BF7CB4" w14:paraId="68B3A2F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0" w14:textId="77777777" w:rsidR="00BF7CB4" w:rsidRDefault="00000000">
            <w:pPr>
              <w:spacing w:line="240" w:lineRule="auto"/>
            </w:pPr>
            <w:r>
              <w:rPr>
                <w:sz w:val="20"/>
                <w:szCs w:val="20"/>
              </w:rPr>
              <w:t>Technisch</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1" w14:textId="77777777" w:rsidR="00BF7CB4" w:rsidRDefault="00000000">
            <w:pPr>
              <w:spacing w:line="240" w:lineRule="auto"/>
            </w:pPr>
            <w:r>
              <w:rPr>
                <w:sz w:val="20"/>
                <w:szCs w:val="20"/>
              </w:rPr>
              <w:t xml:space="preserve">Abdeckung </w:t>
            </w:r>
            <w:proofErr w:type="spellStart"/>
            <w:r>
              <w:rPr>
                <w:sz w:val="20"/>
                <w:szCs w:val="20"/>
              </w:rPr>
              <w:t>GenAI</w:t>
            </w:r>
            <w:proofErr w:type="spellEnd"/>
            <w:r>
              <w:rPr>
                <w:sz w:val="20"/>
                <w:szCs w:val="20"/>
              </w:rPr>
              <w:t>-Metriken</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2" w14:textId="77777777" w:rsidR="00BF7CB4" w:rsidRDefault="00000000">
            <w:pPr>
              <w:spacing w:line="240" w:lineRule="auto"/>
            </w:pPr>
            <w:r>
              <w:rPr>
                <w:sz w:val="20"/>
                <w:szCs w:val="20"/>
              </w:rPr>
              <w:t>Coverage-Matrix</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3" w14:textId="77777777" w:rsidR="00BF7CB4" w:rsidRDefault="00000000">
            <w:pPr>
              <w:spacing w:line="240" w:lineRule="auto"/>
            </w:pPr>
            <w:r>
              <w:rPr>
                <w:sz w:val="20"/>
                <w:szCs w:val="20"/>
              </w:rPr>
              <w:t>(a)</w:t>
            </w:r>
          </w:p>
        </w:tc>
      </w:tr>
      <w:tr w:rsidR="00BF7CB4" w14:paraId="68B3A2F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5" w14:textId="77777777" w:rsidR="00BF7CB4" w:rsidRDefault="00000000">
            <w:pPr>
              <w:spacing w:line="240" w:lineRule="auto"/>
            </w:pPr>
            <w:r>
              <w:rPr>
                <w:sz w:val="20"/>
                <w:szCs w:val="20"/>
              </w:rPr>
              <w:t>Technisch</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6" w14:textId="77777777" w:rsidR="00BF7CB4" w:rsidRDefault="00000000">
            <w:pPr>
              <w:spacing w:line="240" w:lineRule="auto"/>
            </w:pPr>
            <w:r>
              <w:rPr>
                <w:sz w:val="20"/>
                <w:szCs w:val="20"/>
              </w:rPr>
              <w:t>Automatisierbarkeit (CI/CD-Trigger)</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7" w14:textId="77777777" w:rsidR="00BF7CB4" w:rsidRDefault="00000000">
            <w:pPr>
              <w:spacing w:line="240" w:lineRule="auto"/>
            </w:pPr>
            <w:r>
              <w:rPr>
                <w:sz w:val="20"/>
                <w:szCs w:val="20"/>
              </w:rPr>
              <w:t>PoC-Walkthrough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8" w14:textId="77777777" w:rsidR="00BF7CB4" w:rsidRDefault="00000000">
            <w:pPr>
              <w:spacing w:line="240" w:lineRule="auto"/>
            </w:pPr>
            <w:r>
              <w:rPr>
                <w:sz w:val="20"/>
                <w:szCs w:val="20"/>
              </w:rPr>
              <w:t>(b)</w:t>
            </w:r>
          </w:p>
        </w:tc>
      </w:tr>
      <w:tr w:rsidR="00BF7CB4" w14:paraId="68B3A2F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A" w14:textId="77777777" w:rsidR="00BF7CB4" w:rsidRDefault="00000000">
            <w:pPr>
              <w:spacing w:line="240" w:lineRule="auto"/>
            </w:pPr>
            <w:r>
              <w:rPr>
                <w:sz w:val="20"/>
                <w:szCs w:val="20"/>
              </w:rPr>
              <w:t>Compliance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B" w14:textId="77777777" w:rsidR="00BF7CB4" w:rsidRDefault="00000000">
            <w:pPr>
              <w:spacing w:line="240" w:lineRule="auto"/>
            </w:pPr>
            <w:r>
              <w:rPr>
                <w:sz w:val="20"/>
                <w:szCs w:val="20"/>
              </w:rPr>
              <w:t xml:space="preserve">Rechtskonformität (Art. 9–15 → </w:t>
            </w:r>
            <w:proofErr w:type="spellStart"/>
            <w:r>
              <w:rPr>
                <w:sz w:val="20"/>
                <w:szCs w:val="20"/>
              </w:rPr>
              <w:t>Policies</w:t>
            </w:r>
            <w:proofErr w:type="spellEnd"/>
            <w:r>
              <w:rPr>
                <w:sz w:val="20"/>
                <w:szCs w:val="20"/>
              </w:rPr>
              <w:t>)</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C" w14:textId="77777777" w:rsidR="00BF7CB4" w:rsidRDefault="00000000">
            <w:pPr>
              <w:spacing w:line="240" w:lineRule="auto"/>
            </w:pPr>
            <w:r>
              <w:rPr>
                <w:sz w:val="20"/>
                <w:szCs w:val="20"/>
              </w:rPr>
              <w:t>Coverage-Matrix</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D" w14:textId="77777777" w:rsidR="00BF7CB4" w:rsidRDefault="00000000">
            <w:pPr>
              <w:spacing w:line="240" w:lineRule="auto"/>
            </w:pPr>
            <w:r>
              <w:rPr>
                <w:sz w:val="20"/>
                <w:szCs w:val="20"/>
              </w:rPr>
              <w:t>(a)</w:t>
            </w:r>
          </w:p>
        </w:tc>
      </w:tr>
      <w:tr w:rsidR="00BF7CB4" w14:paraId="68B3A30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2FF" w14:textId="77777777" w:rsidR="00BF7CB4" w:rsidRDefault="00000000">
            <w:pPr>
              <w:spacing w:line="240" w:lineRule="auto"/>
            </w:pPr>
            <w:r>
              <w:rPr>
                <w:sz w:val="20"/>
                <w:szCs w:val="20"/>
              </w:rPr>
              <w:t>Compliance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0" w14:textId="77777777" w:rsidR="00BF7CB4" w:rsidRDefault="00000000">
            <w:pPr>
              <w:spacing w:line="240" w:lineRule="auto"/>
            </w:pPr>
            <w:r>
              <w:rPr>
                <w:sz w:val="20"/>
                <w:szCs w:val="20"/>
              </w:rPr>
              <w:t>Evidenzsicherung (</w:t>
            </w:r>
            <w:proofErr w:type="spellStart"/>
            <w:r>
              <w:rPr>
                <w:sz w:val="20"/>
                <w:szCs w:val="20"/>
              </w:rPr>
              <w:t>immutable</w:t>
            </w:r>
            <w:proofErr w:type="spellEnd"/>
            <w:r>
              <w:rPr>
                <w:sz w:val="20"/>
                <w:szCs w:val="20"/>
              </w:rPr>
              <w:t xml:space="preserve"> Storage)</w:t>
            </w:r>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1" w14:textId="77777777" w:rsidR="00BF7CB4" w:rsidRDefault="00000000">
            <w:pPr>
              <w:spacing w:line="240" w:lineRule="auto"/>
            </w:pPr>
            <w:r>
              <w:rPr>
                <w:sz w:val="20"/>
                <w:szCs w:val="20"/>
              </w:rPr>
              <w:t>PoC-Walkthrough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2" w14:textId="77777777" w:rsidR="00BF7CB4" w:rsidRDefault="00000000">
            <w:pPr>
              <w:spacing w:line="240" w:lineRule="auto"/>
            </w:pPr>
            <w:r>
              <w:rPr>
                <w:sz w:val="20"/>
                <w:szCs w:val="20"/>
              </w:rPr>
              <w:t>(b)</w:t>
            </w:r>
          </w:p>
        </w:tc>
      </w:tr>
      <w:tr w:rsidR="00BF7CB4" w14:paraId="68B3A30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4" w14:textId="77777777" w:rsidR="00BF7CB4" w:rsidRDefault="00000000">
            <w:pPr>
              <w:spacing w:line="240" w:lineRule="auto"/>
            </w:pPr>
            <w:r>
              <w:rPr>
                <w:sz w:val="20"/>
                <w:szCs w:val="20"/>
              </w:rPr>
              <w:t>Compliance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5" w14:textId="77777777" w:rsidR="00BF7CB4" w:rsidRDefault="00000000">
            <w:pPr>
              <w:spacing w:line="240" w:lineRule="auto"/>
            </w:pPr>
            <w:r>
              <w:rPr>
                <w:sz w:val="20"/>
                <w:szCs w:val="20"/>
              </w:rPr>
              <w:t>Audit-</w:t>
            </w:r>
            <w:proofErr w:type="spellStart"/>
            <w:r>
              <w:rPr>
                <w:sz w:val="20"/>
                <w:szCs w:val="20"/>
              </w:rPr>
              <w:t>Readiness</w:t>
            </w:r>
            <w:proofErr w:type="spellEnd"/>
          </w:p>
        </w:tc>
        <w:tc>
          <w:tcPr>
            <w:tcW w:w="24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6" w14:textId="77777777" w:rsidR="00BF7CB4" w:rsidRDefault="00000000">
            <w:pPr>
              <w:spacing w:line="240" w:lineRule="auto"/>
            </w:pPr>
            <w:r>
              <w:rPr>
                <w:sz w:val="20"/>
                <w:szCs w:val="20"/>
              </w:rPr>
              <w:t>Expert-Review</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3A307" w14:textId="77777777" w:rsidR="00BF7CB4" w:rsidRDefault="00000000">
            <w:pPr>
              <w:spacing w:line="240" w:lineRule="auto"/>
            </w:pPr>
            <w:r>
              <w:rPr>
                <w:sz w:val="20"/>
                <w:szCs w:val="20"/>
              </w:rPr>
              <w:t>(c)</w:t>
            </w:r>
          </w:p>
        </w:tc>
      </w:tr>
    </w:tbl>
    <w:p w14:paraId="68B3A309" w14:textId="77777777" w:rsidR="00BF7CB4" w:rsidRDefault="00000000">
      <w:pPr>
        <w:spacing w:after="200"/>
        <w:jc w:val="both"/>
      </w:pPr>
      <w:r>
        <w:t xml:space="preserve">Die Kombination der drei Stufen realisiert eine methodische Triangulation: Die Coverage-Matrix sichert die analytische Vollständigkeit, der PoC-Walkthrough die technische Machbarkeit und die Expert-Reviews die praktische Nützlichkeit. Diese Triangulation adressiert die von </w:t>
      </w:r>
      <w:proofErr w:type="spellStart"/>
      <w:r>
        <w:t>Hevner</w:t>
      </w:r>
      <w:proofErr w:type="spellEnd"/>
      <w:r>
        <w:t xml:space="preserve"> et al. (2004, S. 83, G3) geforderte rigorose Evaluation aus unterschiedlichen Perspektiven.</w:t>
      </w:r>
    </w:p>
    <w:p w14:paraId="68B3A30A" w14:textId="77777777" w:rsidR="00BF7CB4" w:rsidRDefault="00000000">
      <w:pPr>
        <w:pStyle w:val="berschrift2"/>
      </w:pPr>
      <w:r>
        <w:t>3.8 Interviewdesign und Auswertung</w:t>
      </w:r>
    </w:p>
    <w:p w14:paraId="68B3A30B" w14:textId="77777777" w:rsidR="00BF7CB4" w:rsidRDefault="00000000">
      <w:pPr>
        <w:spacing w:after="200"/>
        <w:jc w:val="both"/>
      </w:pPr>
      <w:r>
        <w:t>Die Expert-Reviews (Evaluationsstufe c) werden als leitfadengestützte Experteninterviews durchgeführt. Die Auswahl der Experten folgt einer gezielten Stichprobenziehung (</w:t>
      </w:r>
      <w:proofErr w:type="spellStart"/>
      <w:r>
        <w:rPr>
          <w:i/>
          <w:iCs/>
        </w:rPr>
        <w:t>purposive</w:t>
      </w:r>
      <w:proofErr w:type="spellEnd"/>
      <w:r>
        <w:rPr>
          <w:i/>
          <w:iCs/>
        </w:rPr>
        <w:t xml:space="preserve"> </w:t>
      </w:r>
      <w:proofErr w:type="spellStart"/>
      <w:r>
        <w:rPr>
          <w:i/>
          <w:iCs/>
        </w:rPr>
        <w:t>sampling</w:t>
      </w:r>
      <w:proofErr w:type="spellEnd"/>
      <w:r>
        <w:t xml:space="preserve">), die sicherstellt, dass die Perspektiven der zentralen Stakeholder-Gruppen – Enterprise Architecture, </w:t>
      </w:r>
      <w:proofErr w:type="spellStart"/>
      <w:r>
        <w:t>MLOps</w:t>
      </w:r>
      <w:proofErr w:type="spellEnd"/>
      <w:r>
        <w:t>/</w:t>
      </w:r>
      <w:proofErr w:type="spellStart"/>
      <w:r>
        <w:t>DevOps</w:t>
      </w:r>
      <w:proofErr w:type="spellEnd"/>
      <w:r>
        <w:t>, Compliance/</w:t>
      </w:r>
      <w:proofErr w:type="spellStart"/>
      <w:r>
        <w:t>Governance</w:t>
      </w:r>
      <w:proofErr w:type="spellEnd"/>
      <w:r>
        <w:t xml:space="preserve"> und </w:t>
      </w:r>
      <w:proofErr w:type="gramStart"/>
      <w:r>
        <w:t>AI Engineering</w:t>
      </w:r>
      <w:proofErr w:type="gramEnd"/>
      <w:r>
        <w:t xml:space="preserve"> – </w:t>
      </w:r>
      <w:r>
        <w:lastRenderedPageBreak/>
        <w:t>vertreten sind. Es werden mindestens drei Experten befragt, um eine Mindestbreite an Perspektiven zu gewährleisten.</w:t>
      </w:r>
    </w:p>
    <w:p w14:paraId="68B3A30C" w14:textId="77777777" w:rsidR="00BF7CB4" w:rsidRDefault="00000000">
      <w:pPr>
        <w:spacing w:after="200"/>
        <w:jc w:val="both"/>
      </w:pPr>
      <w:r>
        <w:t>Der Interviewleitfaden ist semistrukturiert und gliedert sich entlang der drei Gate-Dimensionen (strategisch, technisch, Compliance). Für jede Dimension werden die Experten gebeten, die Referenzarchitektur hinsichtlich Vollständigkeit, Praxistauglichkeit und Verbesserungspotenzial zu bewerten. Der Leitfaden enthält sowohl geschlossene Bewertungsfragen (z. B. Likert-Skala zur Praxistauglichkeit) als auch offene Fragen zur Erfassung qualitativer Einschätzungen und Verbesserungsvorschläge.</w:t>
      </w:r>
    </w:p>
    <w:p w14:paraId="68B3A30D" w14:textId="77777777" w:rsidR="00BF7CB4" w:rsidRDefault="00000000">
      <w:pPr>
        <w:spacing w:after="200"/>
        <w:jc w:val="both"/>
      </w:pPr>
      <w:r>
        <w:t>Die Auswertung erfolgt mittels qualitativer Inhaltsanalyse nach Mayring (2015). Die Interviews werden transkribiert und anhand eines deduktiven Kategoriensystems codiert, das sich an den Evaluationskriterien (Tabelle 6) orientiert. Ergänzend werden induktive Kategorien gebildet, um unerwartete Erkenntnisse systematisch zu erfassen.</w:t>
      </w:r>
    </w:p>
    <w:p w14:paraId="68B3A30E" w14:textId="77777777" w:rsidR="00BF7CB4" w:rsidRDefault="00000000">
      <w:pPr>
        <w:spacing w:after="200"/>
        <w:jc w:val="both"/>
      </w:pPr>
      <w:r>
        <w:t xml:space="preserve">Die Gütekriterien der qualitativen Forschung werden durch folgende Maßnahmen adressiert: Die </w:t>
      </w:r>
      <w:r>
        <w:rPr>
          <w:i/>
          <w:iCs/>
        </w:rPr>
        <w:t>Nachvollziehbarkeit</w:t>
      </w:r>
      <w:r>
        <w:t xml:space="preserve"> wird durch die vollständige Dokumentation des Interviewleitfadens, der Transkripte und des Codierungsprozesses sichergestellt. Die </w:t>
      </w:r>
      <w:r>
        <w:rPr>
          <w:i/>
          <w:iCs/>
        </w:rPr>
        <w:t>Intersubjektivität</w:t>
      </w:r>
      <w:r>
        <w:t xml:space="preserve"> wird durch die Offenlegung der Auswahlkriterien und des Auswertungsverfahrens gewährleistet. Die </w:t>
      </w:r>
      <w:r>
        <w:rPr>
          <w:i/>
          <w:iCs/>
        </w:rPr>
        <w:t>Triangulation</w:t>
      </w:r>
      <w:r>
        <w:t xml:space="preserve"> erfolgt durch die Kombination mit den analytischen Evaluationsstufen (a) und (b), sodass die Expertenbewertungen nicht isoliert, sondern im Kontext der Gesamtevaluation interpretiert werden.</w:t>
      </w:r>
    </w:p>
    <w:sectPr w:rsidR="00BF7CB4">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C379" w14:textId="77777777" w:rsidR="00C278E0" w:rsidRDefault="00C278E0">
      <w:pPr>
        <w:spacing w:line="240" w:lineRule="auto"/>
      </w:pPr>
      <w:r>
        <w:separator/>
      </w:r>
    </w:p>
  </w:endnote>
  <w:endnote w:type="continuationSeparator" w:id="0">
    <w:p w14:paraId="095B1CC5" w14:textId="77777777" w:rsidR="00C278E0" w:rsidRDefault="00C278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A310" w14:textId="5B2F3BED" w:rsidR="00BF7CB4" w:rsidRDefault="00000000">
    <w:pPr>
      <w:jc w:val="center"/>
    </w:pPr>
    <w:r>
      <w:rPr>
        <w:sz w:val="20"/>
        <w:szCs w:val="20"/>
      </w:rPr>
      <w:fldChar w:fldCharType="begin"/>
    </w:r>
    <w:r>
      <w:rPr>
        <w:sz w:val="20"/>
        <w:szCs w:val="20"/>
      </w:rPr>
      <w:instrText>PAGE</w:instrText>
    </w:r>
    <w:r>
      <w:rPr>
        <w:sz w:val="20"/>
        <w:szCs w:val="20"/>
      </w:rPr>
      <w:fldChar w:fldCharType="separate"/>
    </w:r>
    <w:r w:rsidR="00D417E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B666" w14:textId="77777777" w:rsidR="00C278E0" w:rsidRDefault="00C278E0">
      <w:pPr>
        <w:spacing w:line="240" w:lineRule="auto"/>
      </w:pPr>
      <w:r>
        <w:separator/>
      </w:r>
    </w:p>
  </w:footnote>
  <w:footnote w:type="continuationSeparator" w:id="0">
    <w:p w14:paraId="6858EEF2" w14:textId="77777777" w:rsidR="00C278E0" w:rsidRDefault="00C278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A30F" w14:textId="77777777" w:rsidR="00BF7CB4" w:rsidRDefault="00000000">
    <w:pPr>
      <w:jc w:val="right"/>
    </w:pPr>
    <w:r>
      <w:rPr>
        <w:i/>
        <w:iCs/>
        <w:color w:val="888888"/>
        <w:sz w:val="18"/>
        <w:szCs w:val="18"/>
      </w:rPr>
      <w:t>Kapitel 3 – Forschungsdesign und Methodik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D13DC"/>
    <w:multiLevelType w:val="hybridMultilevel"/>
    <w:tmpl w:val="1E786A94"/>
    <w:lvl w:ilvl="0" w:tplc="182EFAD4">
      <w:start w:val="1"/>
      <w:numFmt w:val="bullet"/>
      <w:lvlText w:val="●"/>
      <w:lvlJc w:val="left"/>
      <w:pPr>
        <w:ind w:left="720" w:hanging="360"/>
      </w:pPr>
    </w:lvl>
    <w:lvl w:ilvl="1" w:tplc="443C4892">
      <w:start w:val="1"/>
      <w:numFmt w:val="bullet"/>
      <w:lvlText w:val="○"/>
      <w:lvlJc w:val="left"/>
      <w:pPr>
        <w:ind w:left="1440" w:hanging="360"/>
      </w:pPr>
    </w:lvl>
    <w:lvl w:ilvl="2" w:tplc="9A428698">
      <w:start w:val="1"/>
      <w:numFmt w:val="bullet"/>
      <w:lvlText w:val="■"/>
      <w:lvlJc w:val="left"/>
      <w:pPr>
        <w:ind w:left="2160" w:hanging="360"/>
      </w:pPr>
    </w:lvl>
    <w:lvl w:ilvl="3" w:tplc="E0E43B9C">
      <w:start w:val="1"/>
      <w:numFmt w:val="bullet"/>
      <w:lvlText w:val="●"/>
      <w:lvlJc w:val="left"/>
      <w:pPr>
        <w:ind w:left="2880" w:hanging="360"/>
      </w:pPr>
    </w:lvl>
    <w:lvl w:ilvl="4" w:tplc="3222904A">
      <w:start w:val="1"/>
      <w:numFmt w:val="bullet"/>
      <w:lvlText w:val="○"/>
      <w:lvlJc w:val="left"/>
      <w:pPr>
        <w:ind w:left="3600" w:hanging="360"/>
      </w:pPr>
    </w:lvl>
    <w:lvl w:ilvl="5" w:tplc="067C1438">
      <w:start w:val="1"/>
      <w:numFmt w:val="bullet"/>
      <w:lvlText w:val="■"/>
      <w:lvlJc w:val="left"/>
      <w:pPr>
        <w:ind w:left="4320" w:hanging="360"/>
      </w:pPr>
    </w:lvl>
    <w:lvl w:ilvl="6" w:tplc="FE22F09A">
      <w:start w:val="1"/>
      <w:numFmt w:val="bullet"/>
      <w:lvlText w:val="●"/>
      <w:lvlJc w:val="left"/>
      <w:pPr>
        <w:ind w:left="5040" w:hanging="360"/>
      </w:pPr>
    </w:lvl>
    <w:lvl w:ilvl="7" w:tplc="C63222D4">
      <w:start w:val="1"/>
      <w:numFmt w:val="bullet"/>
      <w:lvlText w:val="●"/>
      <w:lvlJc w:val="left"/>
      <w:pPr>
        <w:ind w:left="5760" w:hanging="360"/>
      </w:pPr>
    </w:lvl>
    <w:lvl w:ilvl="8" w:tplc="8A6848CC">
      <w:start w:val="1"/>
      <w:numFmt w:val="bullet"/>
      <w:lvlText w:val="●"/>
      <w:lvlJc w:val="left"/>
      <w:pPr>
        <w:ind w:left="6480" w:hanging="360"/>
      </w:pPr>
    </w:lvl>
  </w:abstractNum>
  <w:num w:numId="1" w16cid:durableId="81179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CB4"/>
    <w:rsid w:val="00BF7CB4"/>
    <w:rsid w:val="00C278E0"/>
    <w:rsid w:val="00D417E8"/>
    <w:rsid w:val="00F4519C"/>
    <w:rsid w:val="00F70B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8B3A218"/>
  <w15:docId w15:val="{0CC2DCB6-1F98-4C47-9D16-C64F3D69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sz w:val="32"/>
      <w:szCs w:val="32"/>
    </w:rPr>
  </w:style>
  <w:style w:type="paragraph" w:styleId="berschrift2">
    <w:name w:val="heading 2"/>
    <w:uiPriority w:val="9"/>
    <w:unhideWhenUsed/>
    <w:qFormat/>
    <w:pPr>
      <w:spacing w:before="360" w:after="240"/>
      <w:outlineLvl w:val="1"/>
    </w:pPr>
    <w:rPr>
      <w:b/>
      <w:bCs/>
      <w:sz w:val="28"/>
      <w:szCs w:val="28"/>
    </w:rPr>
  </w:style>
  <w:style w:type="paragraph" w:styleId="berschrift3">
    <w:name w:val="heading 3"/>
    <w:uiPriority w:val="9"/>
    <w:unhideWhenUsed/>
    <w:qFormat/>
    <w:pPr>
      <w:spacing w:before="240" w:after="120"/>
      <w:outlineLvl w:val="2"/>
    </w:pPr>
    <w:rPr>
      <w:b/>
      <w:b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F70B39"/>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F70B39"/>
  </w:style>
  <w:style w:type="paragraph" w:styleId="Fuzeile">
    <w:name w:val="footer"/>
    <w:basedOn w:val="Standard"/>
    <w:link w:val="FuzeileZchn"/>
    <w:uiPriority w:val="99"/>
    <w:unhideWhenUsed/>
    <w:rsid w:val="00F70B3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F70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2922</Words>
  <Characters>18415</Characters>
  <Application>Microsoft Office Word</Application>
  <DocSecurity>0</DocSecurity>
  <Lines>153</Lines>
  <Paragraphs>42</Paragraphs>
  <ScaleCrop>false</ScaleCrop>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Demir, Mustafa (SRH Fernhochschule Student)</cp:lastModifiedBy>
  <cp:revision>3</cp:revision>
  <dcterms:created xsi:type="dcterms:W3CDTF">2026-02-27T03:44:00Z</dcterms:created>
  <dcterms:modified xsi:type="dcterms:W3CDTF">2026-02-27T03:52:00Z</dcterms:modified>
</cp:coreProperties>
</file>