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Security Gateway Against Prompt Injection and Data Exfiltration in Large Language Models</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remain open problems for large language model (LLM) applications. NeuralShield stacks five defenses behind a single arbiter: (L0) structural normalization with recursive deobfuscation, (L1) deterministic regex and canary traps, (L2) a 12-language mmBERT-base semantic classifier, (L3) egress data loss prevention (DLP), and an adaptive OR-Gate that fuses their verdicts. The classifier was trained on the balanced v6.2 corpus, 98,606 records across 12 languages. On a source-disjoint benchmark (N=2,849) it reaches Macro-F1 parity with a commercial defense (Patronus Wolf Defender: 84.8% vs. 84.2%, overlapping cluster-bootstrap 95% confidence intervals). Native non-English corpora expose a sharper asymmetry. Recall is higher there (Turkish 79.4% vs. 45.0%; Cyrillic AUC 0.890 vs. 0.631). Yet Turkish ranking stays slightly behind (ROC-AUC 0.952 vs. 0.972), and Cyrillic false positives are far higher (69.8% vs. 26.9%). Red-teaming 14 models (10 open-weight, 1.5B–14.7B; 4 flagship on H200) drops attack success from 40.59% (Mistral-7B) to 0.0%. The same campaign surfaced Silent Chain-of-Thought Exfiltration: Gemma-4-31B leaks secrets in 66.34% of reasoning traces while its final ASR stays at 0.0%, a channel closed by our dual-stream egress DLP. Full-pool ablations (N=101) show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Security Gateway Against Prompt Injection and Data Exfiltration in Large Language Models,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64"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64" w:before="0"/>
        <w:jc w:val="both"/>
      </w:pPr>
      <w:r>
        <w:rPr>
          <w:rFonts w:ascii="Times New Roman" w:hAnsi="Times New Roman"/>
          <w:sz w:val="22"/>
        </w:rPr>
        <w:t>Securing LLM-integrated pipelines against prompt injection poses formidable operational and theoretical challenges. Commercial and open-source guardrails have emerged, including Meta Prompt Guard [7], ProtectAI DeBERTa-v3 [8], and Patronus AI's Wolf Defender [9]. Three limitations persist.</w:t>
      </w:r>
    </w:p>
    <w:p>
      <w:pPr>
        <w:spacing w:line="240" w:lineRule="auto" w:after="64" w:before="0"/>
        <w:jc w:val="both"/>
      </w:pPr>
      <w:r>
        <w:rPr>
          <w:rFonts w:ascii="Times New Roman" w:hAnsi="Times New Roman"/>
          <w:sz w:val="22"/>
        </w:rPr>
        <w:t>The first is multilingual collapse. Existing guardrail models are trained overwhelmingly on English corpora, and in non-English contexts safety classifiers frequently fail on morphologically rich, low-resource, or non-Latin scripts [10, 11]. Academic datasets compound the problem: machine translation injects 'translationese' artifacts and washes out the colloquial syntax that regional attack vectors rely on [12].</w:t>
      </w:r>
    </w:p>
    <w:p>
      <w:pPr>
        <w:spacing w:line="240" w:lineRule="auto" w:after="64" w:before="0"/>
        <w:jc w:val="both"/>
      </w:pPr>
      <w:r>
        <w:rPr>
          <w:rFonts w:ascii="Times New Roman" w:hAnsi="Times New Roman"/>
          <w:sz w:val="22"/>
        </w:rPr>
        <w:t>The second is benchmark source contamination. Prior comparisons of guardrail performance often rest on undetected data leakage. Our audit of conventional out-of-distribution (OOD) evaluation suites found a 76.9% source-level overlap between public training repositories and benchmark splits, which inflates reported detection metrics.</w:t>
      </w:r>
    </w:p>
    <w:p>
      <w:pPr>
        <w:spacing w:line="240" w:lineRule="auto" w:after="64" w:before="0"/>
        <w:jc w:val="both"/>
      </w:pPr>
      <w:r>
        <w:rPr>
          <w:rFonts w:ascii="Times New Roman" w:hAnsi="Times New Roman"/>
          <w:sz w:val="22"/>
        </w:rPr>
        <w:t>The third is the Silent Chain-of-Thought (CoT) Exfiltration vector. Modern reasoning models deliberate before answering [13], while standard guardrails inspect only the final message. Even when a model refuses an attack outright (0.0% final Attack Success Rate), it can still verbalize system prompts and cryptographic canaries verbatim inside its reasoning tokens. Applications that stream raw reasoning chunks over Server-Sent Events (SSE), or persist them in execution logs, hand over the secret without ever printing it to the user.</w:t>
      </w:r>
    </w:p>
    <w:p>
      <w:pPr>
        <w:spacing w:line="240" w:lineRule="auto" w:after="64" w:before="0"/>
        <w:jc w:val="both"/>
      </w:pPr>
      <w:r>
        <w:rPr>
          <w:rFonts w:ascii="Times New Roman" w:hAnsi="Times New Roman"/>
          <w:sz w:val="22"/>
        </w:rPr>
        <w:t>To address these vulnerabilities, we propose NeuralShield, a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64"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64"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64"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64"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464560"/>
                    </a:xfrm>
                    <a:prstGeom prst="rect"/>
                  </pic:spPr>
                </pic:pic>
              </a:graphicData>
            </a:graphic>
          </wp:inline>
        </w:drawing>
      </w:r>
    </w:p>
    <w:p>
      <w:pPr>
        <w:keepLines/>
        <w:spacing w:before="60" w:after="120"/>
        <w:jc w:val="left"/>
      </w:pPr>
      <w:r>
        <w:rPr>
          <w:rFonts w:ascii="Times New Roman" w:hAnsi="Times New Roman"/>
          <w:i/>
          <w:sz w:val="20"/>
        </w:rPr>
        <w:t>Figure 1. Layered NeuralShield gateway architecture: L0 normalization, L1 deterministic pattern matching, L2 multilingual transformer classification, L3 OR-Gate arbitration (tau = 0.70), L4 context-isolated target LLM orchestration, and L5 dual-stream egress DLP sanitization, with the evaluation and benchmark module on the right.</w:t>
      </w:r>
    </w:p>
    <w:p>
      <w:pPr>
        <w:spacing w:line="240" w:lineRule="auto" w:after="64"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64"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64"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64"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64"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64"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64" w:before="0"/>
        <w:jc w:val="both"/>
      </w:pPr>
      <w:r>
        <w:rPr>
          <w:rFonts w:ascii="Times New Roman" w:hAnsi="Times New Roman"/>
          <w:sz w:val="22"/>
        </w:rPr>
        <w:t>The NeuralShield v6.2 corpus comprises 98,606 curated records, balanced across 12 typologically diverse languages. English and Turkish form the core sets (en: 29,983 records, 30.4%; tr: 29,011 records, 29.4%). Ten further languages contribute roughly 4,000 balanced instances each, drawn from Germanic (German), Romance (French, Spanish, Italian, Portuguese), Slavic (Russian), Semitic (Arabic), and East Asian (Japanese, Korean, Simplified Chinese) families. The corpus holds 48,627 malicious samples (49.3%) and 49,979 benign samples (50.7%).</w:t>
      </w:r>
    </w:p>
    <w:p>
      <w:pPr>
        <w:spacing w:line="240" w:lineRule="auto" w:after="64" w:before="0"/>
        <w:jc w:val="both"/>
      </w:pPr>
      <w:r>
        <w:rPr>
          <w:rFonts w:ascii="Times New Roman" w:hAnsi="Times New Roman"/>
          <w:sz w:val="22"/>
        </w:rPr>
        <w:t>To prevent generative bias, synthetic data generation ran a symmetric engine strategy: benign customer support dialogues and adversarial injections came from the identical teacher model (gemma-4-31b, served on an HPC inference cluster). Quality control then passed every candidate through three filters. An ensemble of ProtectAI DeBERTa-v3, Deepset prompt-injection detector [26], and Patronus Wolf Defender classified each synthetic instance; a fine-tuned Qwen2.5-7B-Instruct judge audited semantic consistency; and a stratified 70/15/15 split produced 69,021 training, 14,794 validation, and 14,791 testing samples. All training corpora, evaluation benchmarks, and baseline guardrails utilized in this study are publicly accessible on the Hugging Face Hub under permissive open-source licenses (MIT, Apache-2.0, and CC-BY-SA), ensuring full scientific reproducibility.</w:t>
      </w:r>
    </w:p>
    <w:p>
      <w:pPr>
        <w:pStyle w:val="Heading2"/>
        <w:keepNext/>
        <w:spacing w:before="160" w:after="60"/>
      </w:pPr>
      <w:r>
        <w:rPr>
          <w:rFonts w:ascii="Times New Roman" w:hAnsi="Times New Roman"/>
          <w:b/>
          <w:color w:val="000000"/>
          <w:sz w:val="22"/>
        </w:rPr>
        <w:t>2.4. Source-Disjoint Fair Benchmark Protocol</w:t>
      </w:r>
    </w:p>
    <w:p>
      <w:pPr>
        <w:spacing w:line="240" w:lineRule="auto" w:after="64"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64"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64"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64"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64"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the Enterprise NVIDIA H200 Supercomputing Cluster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64"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64"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64"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00" w:after="4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0"/>
      </w:pPr>
    </w:p>
    <w:p>
      <w:pPr>
        <w:spacing w:before="40" w:after="120"/>
      </w:pPr>
      <w:r>
        <w:rPr>
          <w:rFonts w:ascii="Times New Roman" w:hAnsi="Times New Roman"/>
          <w:i/>
          <w:sz w:val="17"/>
        </w:rPr>
        <w:t>* Note: Recall and FP point values reflect end-to-end gateway runs. Bracketed intervals for mmBERT denote the standalone classifier cluster-bootstrap distribution (bootstrap F1 point estimate = 84.82%); end-to-end recall (74.10%) may therefore exceed the standalone interval.</w:t>
      </w:r>
    </w:p>
    <w:p>
      <w:pPr>
        <w:spacing w:line="240" w:lineRule="auto" w:after="64" w:before="0"/>
        <w:jc w:val="both"/>
      </w:pPr>
      <w:r>
        <w:rPr>
          <w:rFonts w:ascii="Times New Roman" w:hAnsi="Times New Roman"/>
          <w:sz w:val="22"/>
        </w:rPr>
        <w:t>Table 1 shows mmBERT-base achieving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64"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00" w:after="4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0"/>
      </w:pPr>
    </w:p>
    <w:p>
      <w:pPr>
        <w:spacing w:line="240" w:lineRule="auto" w:after="64"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64"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00" w:after="4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0"/>
      </w:pPr>
    </w:p>
    <w:p>
      <w:pPr>
        <w:spacing w:line="240" w:lineRule="auto" w:after="64" w:before="0"/>
        <w:jc w:val="both"/>
      </w:pPr>
      <w:r>
        <w:rPr>
          <w:rFonts w:ascii="Times New Roman" w:hAnsi="Times New Roman"/>
          <w:sz w:val="22"/>
        </w:rPr>
        <w:t>While Post-Training Quantization (PTQ) to INT8 reduces storage by ~4×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64"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00" w:after="4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0"/>
      </w:pPr>
    </w:p>
    <w:p>
      <w:pPr>
        <w:spacing w:line="240" w:lineRule="auto" w:after="64"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64"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00" w:after="4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0"/>
      </w:pPr>
    </w:p>
    <w:p>
      <w:pPr>
        <w:keepNext/>
        <w:spacing w:before="160" w:after="40"/>
        <w:jc w:val="center"/>
      </w:pPr>
      <w:r>
        <w:drawing>
          <wp:inline xmlns:a="http://schemas.openxmlformats.org/drawingml/2006/main" xmlns:pic="http://schemas.openxmlformats.org/drawingml/2006/picture">
            <wp:extent cx="5303520" cy="2273574"/>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3574"/>
                    </a:xfrm>
                    <a:prstGeom prst="rect"/>
                  </pic:spPr>
                </pic:pic>
              </a:graphicData>
            </a:graphic>
          </wp:inline>
        </w:drawing>
      </w:r>
    </w:p>
    <w:p>
      <w:pPr>
        <w:keepLines/>
        <w:spacing w:before="60" w:after="12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64"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64"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64"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64"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100" w:after="4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0"/>
      </w:pPr>
    </w:p>
    <w:p>
      <w:pPr>
        <w:spacing w:line="240" w:lineRule="auto" w:after="64"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64"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00" w:after="4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0"/>
      </w:pPr>
    </w:p>
    <w:p>
      <w:pPr>
        <w:spacing w:line="240" w:lineRule="auto" w:after="64"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64" w:before="0"/>
        <w:jc w:val="both"/>
      </w:pPr>
      <w:r>
        <w:rPr>
          <w:rFonts w:ascii="Times New Roman" w:hAnsi="Times New Roman"/>
          <w:sz w:val="22"/>
        </w:rPr>
        <w:t>Real-world SSE deployment: To verify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w:t>
      </w:r>
    </w:p>
    <w:p>
      <w:pPr>
        <w:spacing w:line="240" w:lineRule="auto" w:after="64"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64" w:before="0"/>
        <w:jc w:val="both"/>
      </w:pPr>
      <w:r>
        <w:rPr>
          <w:rFonts w:ascii="Times New Roman" w:hAnsi="Times New Roman"/>
          <w:sz w:val="22"/>
        </w:rPr>
        <w:t>To assess whether massive frontier architectures resolve prompt injection vulnerabilities, we evaluated four flagship models hosted on an Enterprise NVIDIA H200 Supercomputing Cluster using the identical 161-prompt curated suite. Table 8 and Figure 2b detail the findings.</w:t>
      </w:r>
    </w:p>
    <w:p>
      <w:pPr>
        <w:keepNext/>
        <w:keepLines/>
        <w:spacing w:before="100" w:after="4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NVIDIA H200</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NVIDIA H200</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NVIDIA H200</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NVIDIA H200</w:t>
            </w:r>
          </w:p>
        </w:tc>
        <w:tc>
          <w:tcPr>
            <w:tcW w:type="dxa" w:w="147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0"/>
      </w:pPr>
    </w:p>
    <w:p>
      <w:pPr>
        <w:spacing w:line="240" w:lineRule="auto" w:after="64"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64"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00" w:after="4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60" w:after="12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64"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64"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64"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00" w:after="4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90" w:type="dxa"/>
              <w:bottom w:w="9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70" w:type="dxa"/>
              <w:bottom w:w="7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70" w:type="dxa"/>
              <w:bottom w:w="7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 non-significant (p = 0.115)</w:t>
            </w:r>
          </w:p>
        </w:tc>
      </w:tr>
    </w:tbl>
    <w:p>
      <w:pPr>
        <w:spacing w:after="0"/>
      </w:pPr>
    </w:p>
    <w:p>
      <w:pPr>
        <w:spacing w:line="240" w:lineRule="auto" w:after="64" w:before="0"/>
        <w:jc w:val="both"/>
      </w:pPr>
      <w:r>
        <w:rPr>
          <w:rFonts w:ascii="Times New Roman" w:hAnsi="Times New Roman"/>
          <w:sz w:val="22"/>
        </w:rPr>
        <w:t>Table 10 makes the methodological lesson concrete.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64"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64" w:before="0"/>
        <w:jc w:val="both"/>
      </w:pPr>
      <w:r>
        <w:rPr>
          <w:rFonts w:ascii="Times New Roman" w:hAnsi="Times New Roman"/>
          <w:sz w:val="22"/>
        </w:rPr>
        <w:t>Following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64"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64"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64"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6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60"/>
        <w:jc w:val="both"/>
      </w:pPr>
      <w:r>
        <w:rPr>
          <w:rFonts w:ascii="Times New Roman" w:hAnsi="Times New Roman"/>
          <w:sz w:val="20"/>
        </w:rPr>
        <w:t>[2] OpenAI. GPT-4 technical report. arXiv preprint arXiv:2303.08774, 2023. https://doi.org/10.48550/arXiv.2303.08774</w:t>
      </w:r>
    </w:p>
    <w:p>
      <w:pPr>
        <w:spacing w:line="240" w:lineRule="auto" w:after="6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6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6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6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6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6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6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6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6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6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6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6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6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6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6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6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60"/>
        <w:jc w:val="both"/>
      </w:pPr>
      <w:r>
        <w:rPr>
          <w:rFonts w:ascii="Times New Roman" w:hAnsi="Times New Roman"/>
          <w:sz w:val="20"/>
        </w:rPr>
        <w:t>[19] Conover M, Hayes M, Mathur A, Meng J, Xie J. Free Dolly: Introducing the world's first truly open instruction-tuned LLM. Databricks Technical Blog, 2023. Available from: https://huggingface.co/datasets/databricks/databricks-dolly-15k ; https://www.databricks.com/blog/2023/04/12/dolly-first-open-commercially-viable-instruction-tuned-llm</w:t>
      </w:r>
    </w:p>
    <w:p>
      <w:pPr>
        <w:spacing w:line="240" w:lineRule="auto" w:after="6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6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6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6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6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6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spacing w:line="240" w:lineRule="auto" w:after="60"/>
        <w:jc w:val="both"/>
      </w:pPr>
      <w:r>
        <w:rPr>
          <w:rFonts w:ascii="Times New Roman" w:hAnsi="Times New Roman"/>
          <w:sz w:val="20"/>
        </w:rPr>
        <w:t>[26] Deepset. prompt-injections: A dataset of prompt-injection and benign prompt samples. Hugging Face Datasets, 2023. Available from: https://huggingface.co/datasets/deepset/prompt-injections</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64"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64" w:before="0"/>
        <w:jc w:val="both"/>
      </w:pPr>
      <w:r>
        <w:rPr>
          <w:rFonts w:ascii="Times New Roman" w:hAnsi="Times New Roman"/>
          <w:b/>
          <w:sz w:val="22"/>
        </w:rPr>
        <w:t xml:space="preserve">Case 1: Silent CoT Exfiltration (Gemma-4-31B, NVIDIA H200 Cluster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64"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64"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