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right"/>
      </w:pPr>
      <w:r>
        <w:rPr>
          <w:rFonts w:ascii="Times New Roman" w:hAnsi="Times New Roman"/>
          <w:sz w:val="21"/>
        </w:rPr>
        <w:t>Date: 26 October 2026</w:t>
      </w:r>
    </w:p>
    <w:p>
      <w:pPr>
        <w:spacing w:after="280"/>
        <w:jc w:val="left"/>
      </w:pPr>
      <w:r>
        <w:rPr>
          <w:rFonts w:ascii="Times New Roman" w:hAnsi="Times New Roman"/>
          <w:b/>
          <w:sz w:val="21"/>
        </w:rPr>
        <w:t>To: The Editorial Board and Editor-in-Chief</w:t>
        <w:br/>
        <w:t>Computers and Informatics (C&amp;I)</w:t>
        <w:br/>
        <w:t>DergiPark Academic Publishing, Türkiye</w:t>
        <w:br/>
        <w:t>e-ISSN: 2757-8259 | Web: https://dergipark.org.tr/en/pub/ci</w:t>
      </w:r>
    </w:p>
    <w:p>
      <w:pPr>
        <w:spacing w:after="240" w:before="80"/>
        <w:jc w:val="left"/>
      </w:pPr>
      <w:r>
        <w:rPr>
          <w:rFonts w:ascii="Times New Roman" w:hAnsi="Times New Roman"/>
          <w:b/>
          <w:sz w:val="22"/>
        </w:rPr>
        <w:t>SUBJECT: Submission of Original Research Article — "NeuralShield: A Multilingual Multi-Layer Security Gateway Against Prompt Injection and Data Exfiltration in Large Language Models"</w:t>
      </w:r>
    </w:p>
    <w:p>
      <w:pPr>
        <w:spacing w:line="276" w:lineRule="auto" w:after="160" w:before="0"/>
        <w:jc w:val="left"/>
      </w:pPr>
      <w:r>
        <w:rPr>
          <w:rFonts w:ascii="Times New Roman" w:hAnsi="Times New Roman"/>
          <w:sz w:val="22"/>
        </w:rPr>
        <w:t>Dear Editor-in-Chief and Esteemed Members of the Editorial Board,</w:t>
      </w:r>
    </w:p>
    <w:p>
      <w:pPr>
        <w:spacing w:line="276" w:lineRule="auto" w:after="120" w:before="0"/>
        <w:jc w:val="both"/>
      </w:pPr>
      <w:r>
        <w:rPr>
          <w:rFonts w:ascii="Times New Roman" w:hAnsi="Times New Roman"/>
          <w:sz w:val="22"/>
        </w:rPr>
        <w:t>On behalf of my co-author Prof. Dr. Ali Hakan IŞIK and myself, I am pleased to submit our original research manuscript entitled "NeuralShield: A Multilingual Multi-Layer Security Gateway Against Prompt Injection and Data Exfiltration in Large Language Models" for consideration for publication as a Research Article in Computers and Informatics (C&amp;I).</w:t>
      </w:r>
    </w:p>
    <w:p>
      <w:pPr>
        <w:spacing w:line="276" w:lineRule="auto" w:after="120" w:before="0"/>
        <w:jc w:val="both"/>
      </w:pPr>
      <w:r>
        <w:rPr>
          <w:rFonts w:ascii="Times New Roman" w:hAnsi="Times New Roman"/>
          <w:sz w:val="22"/>
        </w:rPr>
        <w:t>In this paper we show that locally deployed and API-served LLMs disclose secrets embedded in their system prompts, that a non-trivial share of this disclosure occurs only in the reasoning channel and is therefore invisible to output-only inspection, and that a six-stage peripheral gateway removes the leak without touching the model. This is significant because enterprises increasingly delegate operational credentials to LLM assistants while measuring safety on the final response alone.</w:t>
      </w:r>
    </w:p>
    <w:p>
      <w:pPr>
        <w:spacing w:line="276" w:lineRule="auto" w:after="120" w:before="0"/>
        <w:jc w:val="both"/>
      </w:pPr>
      <w:r>
        <w:rPr>
          <w:rFonts w:ascii="Times New Roman" w:hAnsi="Times New Roman"/>
          <w:sz w:val="22"/>
        </w:rPr>
        <w:t>As Large Language Models (LLMs) are rapidly integrated into production environments—such as autonomous workflow agents and retrieval-augmented generation (RAG)—securing natural language interfaces against prompt injection, jailbreaking, and confidential data exfiltration has become a pressing software engineering challenge. Existing commercial and academic guardrails remain predominantly English-centric, fail to address sophisticated non-Latin and steganographic evasion vectors, and exhibit significant performance collapse on non-translated low-resource queries. Furthermore, our pre-registered audit of the legacy out-of-distribution (OOD) suite found that 89.25% of its items name a public training repository in their source field and 8.7% share at least one verbatim 8-gram with our training corpus, which is why the evaluation set was rebuilt on a source-disjoint basis.</w:t>
      </w:r>
    </w:p>
    <w:p>
      <w:pPr>
        <w:spacing w:line="276" w:lineRule="auto" w:after="120" w:before="0"/>
        <w:jc w:val="both"/>
      </w:pPr>
      <w:r>
        <w:rPr>
          <w:rFonts w:ascii="Times New Roman" w:hAnsi="Times New Roman"/>
          <w:b/>
          <w:sz w:val="22"/>
        </w:rPr>
        <w:t xml:space="preserve">Key Contributions &amp; Findings: </w:t>
      </w:r>
      <w:r>
        <w:rPr>
          <w:rFonts w:ascii="Times New Roman" w:hAnsi="Times New Roman"/>
          <w:sz w:val="22"/>
        </w:rPr>
        <w:t>In this work, we propose NeuralShield, a gateway of six stages and five defensive controls (L0 structural normaliser, L1 sub-millisecond deterministic regex, L2 12-language mmBERT-base classifier, L3 OR-Gate arbiter, L4 target model, and L5 dual-stream egress DLP). NeuralShield runs entirely on commodity dual-thread CPU hardware with a median latency of ~50.6 ms (FP32 ONNX runtime), delivering high throughput without requiring expensive GPU infrastructure. Key scientific highlights include:</w:t>
      </w:r>
    </w:p>
    <w:p>
      <w:pPr>
        <w:spacing w:line="276" w:lineRule="auto" w:after="120" w:before="0"/>
        <w:jc w:val="both"/>
      </w:pPr>
      <w:r>
        <w:rPr>
          <w:rFonts w:ascii="Times New Roman" w:hAnsi="Times New Roman"/>
          <w:b/>
          <w:sz w:val="22"/>
        </w:rPr>
        <w:t xml:space="preserve">• Source-Disjoint Fair Parity: </w:t>
      </w:r>
      <w:r>
        <w:rPr>
          <w:rFonts w:ascii="Times New Roman" w:hAnsi="Times New Roman"/>
          <w:sz w:val="22"/>
        </w:rPr>
        <w:t>On a source-disjoint fair 12-language benchmark (N=2,849), NeuralShield demonstrates statistical parity in Macro-F1 with a commercial guardrail (Patronus Wolf Defender: 84.86% vs. 84.23%, overlapping 95% cluster-bootstrap confidence intervals), while achieving higher recall on native non-translated corpora (+34.4 pp on native Turkish; AUC 0.890 vs. 0.631 on native Cyrillic Russian).</w:t>
      </w:r>
    </w:p>
    <w:p>
      <w:pPr>
        <w:spacing w:line="276" w:lineRule="auto" w:after="120" w:before="0"/>
        <w:jc w:val="both"/>
      </w:pPr>
      <w:r>
        <w:rPr>
          <w:rFonts w:ascii="Times New Roman" w:hAnsi="Times New Roman"/>
          <w:b/>
          <w:sz w:val="22"/>
        </w:rPr>
        <w:t xml:space="preserve">• 14-Model Empirical Red-Teaming: </w:t>
      </w:r>
      <w:r>
        <w:rPr>
          <w:rFonts w:ascii="Times New Roman" w:hAnsi="Times New Roman"/>
          <w:sz w:val="22"/>
        </w:rPr>
        <w:t>Empirical red-teaming across 18 distinct model checkpoints in 19 endpoint entries (from 1.5B edge models to Tier-2 enterprise models, Tier-3 flagship models on an Enterprise NVIDIA H200 Supercomputing Cluster, three reasoning models, and one further API model added for the native Turkish suite; a retired DeepSeek-v4-Flash alias now routes to DeepSeek-v4.1-Flash) blocked all 101 curated in-domain attacks, driving attack success rates (ASR) from up to 40.59% (Mistral-7B-v0.3) to flat 0.00%.</w:t>
      </w:r>
    </w:p>
    <w:p>
      <w:pPr>
        <w:spacing w:line="276" w:lineRule="auto" w:after="120" w:before="0"/>
        <w:jc w:val="both"/>
      </w:pPr>
      <w:r>
        <w:rPr>
          <w:rFonts w:ascii="Times New Roman" w:hAnsi="Times New Roman"/>
          <w:b/>
          <w:sz w:val="22"/>
        </w:rPr>
        <w:t xml:space="preserve">• Discovery of Silent CoT Exfiltration: </w:t>
      </w:r>
      <w:r>
        <w:rPr>
          <w:rFonts w:ascii="Times New Roman" w:hAnsi="Times New Roman"/>
          <w:sz w:val="22"/>
        </w:rPr>
        <w:t>We document the phenomenon of 'Silent Chain-of-Thought Exfiltration', showing that flagship reasoning models (Gemma-4-31B and Qwen3.8-Flash-Next) achieve 0.00% user-facing ASR but verbalize confidential system canary secrets verbatim in 66.34% and 14.85% of internal reasoning traces—creating a critical exfiltration vector for SSE streaming architectures that is completely neutralized by NeuralShield's dual-stream egress DLP.</w:t>
      </w:r>
    </w:p>
    <w:p>
      <w:pPr>
        <w:spacing w:line="276" w:lineRule="auto" w:after="120" w:before="0"/>
        <w:jc w:val="both"/>
      </w:pPr>
      <w:r>
        <w:rPr>
          <w:rFonts w:ascii="Times New Roman" w:hAnsi="Times New Roman"/>
          <w:b/>
          <w:sz w:val="22"/>
        </w:rPr>
        <w:t xml:space="preserve">• Full-Pool Paired Ablations: </w:t>
      </w:r>
      <w:r>
        <w:rPr>
          <w:rFonts w:ascii="Times New Roman" w:hAnsi="Times New Roman"/>
          <w:sz w:val="22"/>
        </w:rPr>
        <w:t>Full-sample (N=101) paired McNemar tests find no statistically significant quantization effect (4-bit NF4 vs. uncompressed FP16 exhibit overlapping CIs, p=0.804 on Llama-3.1-8B), while demonstrating that aggressive system prompt hardening leaves 16.83% residual leakage and also produces 1.67% benign canary leakage on legitimate user traffic.</w:t>
      </w:r>
    </w:p>
    <w:p>
      <w:pPr>
        <w:spacing w:line="276" w:lineRule="auto" w:after="120" w:before="0"/>
        <w:jc w:val="both"/>
      </w:pPr>
      <w:r>
        <w:rPr>
          <w:rFonts w:ascii="Times New Roman" w:hAnsi="Times New Roman"/>
          <w:sz w:val="22"/>
        </w:rPr>
        <w:t>We believe this manuscript is ideally suited for Computers and Informatics, as it addresses core intersections of computer science, applied machine learning, software security, and computational engineering. The work presents both statistical evaluation (cluster-bootstrap resampling, exact McNemar tests, Wilson score intervals) and practical systems engineering validated under real-world operational constraints.</w:t>
      </w:r>
    </w:p>
    <w:p>
      <w:pPr>
        <w:spacing w:line="276" w:lineRule="auto" w:after="80" w:before="0"/>
        <w:jc w:val="both"/>
      </w:pPr>
      <w:r>
        <w:rPr>
          <w:rFonts w:ascii="Times New Roman" w:hAnsi="Times New Roman"/>
          <w:b/>
          <w:sz w:val="22"/>
        </w:rPr>
        <w:t xml:space="preserve">Author Declarations: </w:t>
      </w:r>
      <w:r>
        <w:rPr>
          <w:rFonts w:ascii="Times New Roman" w:hAnsi="Times New Roman"/>
          <w:sz w:val="22"/>
        </w:rPr>
        <w:t>In submitting this manuscript, we formally declare that:</w:t>
      </w:r>
    </w:p>
    <w:p>
      <w:pPr>
        <w:spacing w:line="276" w:lineRule="auto" w:after="240" w:before="0"/>
        <w:jc w:val="both"/>
      </w:pPr>
      <w:r>
        <w:rPr>
          <w:rFonts w:ascii="Times New Roman" w:hAnsi="Times New Roman"/>
          <w:sz w:val="22"/>
        </w:rPr>
        <w:t>1. The manuscript represents original work that has not been published previously and is not under consideration for publication elsewhere in any language.</w:t>
        <w:br/>
        <w:t>2. The submission has been reviewed and approved by all authors, and tacit or explicit permission has been obtained from the responsible authorities at Burdur Mehmet Akif Ersoy University.</w:t>
        <w:br/>
        <w:t>3. The authors declare no competing financial interests or personal relationships that could have influenced the work.</w:t>
        <w:br/>
        <w:t>4. All code artifacts, trained ONNX models, benchmark datasets and evaluation harnesses have been open-sourced and archived on GitHub (https://github.com/Mustafa-Caliskan/ai-soc-agent-lab) to support reproducibility.</w:t>
        <w:br/>
        <w:t>5. Blind review requirements have been fully respected: author names and affiliations have been strictly omitted from the main manuscript (docs/NeuralShield_CI_Manuscript.docx) and provided separately in the Title Page (docs/Title_Page.docx).</w:t>
      </w:r>
    </w:p>
    <w:p>
      <w:pPr>
        <w:spacing w:before="160" w:after="80"/>
      </w:pPr>
      <w:r>
        <w:rPr>
          <w:rFonts w:ascii="Times New Roman" w:hAnsi="Times New Roman"/>
          <w:sz w:val="22"/>
        </w:rPr>
        <w:t>Please address all correspondence concerning this manuscript to me at 2211404051@ogr.mehmetakif.edu.tr.</w:t>
        <w:br/>
        <w:br/>
        <w:t>Thank you very much for your time, consideration, and management of the peer-review process.</w:t>
        <w:br/>
        <w:br/>
        <w:t>Sincerely yours,</w:t>
      </w:r>
    </w:p>
    <w:p>
      <w:pPr>
        <w:spacing w:before="240" w:after="40"/>
      </w:pPr>
      <w:r>
        <w:rPr>
          <w:rFonts w:ascii="Times New Roman" w:hAnsi="Times New Roman"/>
          <w:sz w:val="21"/>
        </w:rPr>
        <w:t>Mustafa ÇALIŞKAN (Corresponding Author)</w:t>
        <w:br/>
        <w:t>Department of Computer Engineering, Faculty of Engineering</w:t>
        <w:br/>
        <w:t>Burdur Mehmet Akif Ersoy University</w:t>
        <w:br/>
        <w:t>15030 Burdur, Türkiye</w:t>
        <w:br/>
        <w:t>Email: 2211404051@ogr.mehmetakif.edu.tr</w:t>
        <w:br/>
        <w:t>ORCID: 0009-0004-3861-7628</w:t>
        <w:br/>
        <w:br/>
        <w:t>On behalf of:</w:t>
        <w:br/>
        <w:t>Prof. Dr. Ali Hakan IŞIK (Co-Author &amp; Academic Advisor)</w:t>
        <w:br/>
        <w:t>Email: ahakan@mehmetakif.edu.tr | ORCID: 0000-0003-3561-9375</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