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26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ISSN: 2757-8259 | Web: https://dergipark.org.tr/en/pub/ci</w:t>
      </w:r>
    </w:p>
    <w:p>
      <w:pPr>
        <w:spacing w:after="240" w:before="80"/>
        <w:jc w:val="left"/>
      </w:pPr>
      <w:r>
        <w:rPr>
          <w:rFonts w:ascii="Times New Roman" w:hAnsi="Times New Roman"/>
          <w:b/>
          <w:sz w:val="22"/>
        </w:rPr>
        <w:t>SUBJECT: Submission of Original Research Article — "NeuralShield: A Multilingual Multi-Layer Application Security Gateway for Large Language Models and Source-Disjoint Fair Evaluation"</w:t>
      </w:r>
    </w:p>
    <w:p>
      <w:pPr>
        <w:spacing w:line="276" w:lineRule="auto" w:after="160" w:before="0"/>
        <w:jc w:val="left"/>
      </w:pPr>
      <w:r>
        <w:rPr>
          <w:rFonts w:ascii="Times New Roman" w:hAnsi="Times New Roman"/>
          <w:sz w:val="22"/>
        </w:rPr>
        <w:t>Dear Editor-in-Chief and Esteemed Members of the Editorial Board,</w:t>
      </w:r>
    </w:p>
    <w:p>
      <w:pPr>
        <w:spacing w:line="276" w:lineRule="auto" w:after="120" w:before="0"/>
        <w:jc w:val="both"/>
      </w:pPr>
      <w:r>
        <w:rPr>
          <w:rFonts w:ascii="Times New Roman" w:hAnsi="Times New Roman"/>
          <w:sz w:val="22"/>
        </w:rPr>
        <w:t>On behalf of my co-author Prof. Dr. Ali Hakan IŞIK and myself, I am pleased to submit our original research manuscript entitled "NeuralShield: A Multilingual Multi-Layer Application Security Gateway for Large Language Models and Source-Disjoint Fair Evaluation" for consideration for publication as a Research Article in Computers and Informatics (C&amp;I).</w:t>
      </w:r>
    </w:p>
    <w:p>
      <w:pPr>
        <w:spacing w:line="276" w:lineRule="auto" w:after="120" w:before="0"/>
        <w:jc w:val="both"/>
      </w:pPr>
      <w:r>
        <w:rPr>
          <w:rFonts w:ascii="Times New Roman" w:hAnsi="Times New Roman"/>
          <w:sz w:val="22"/>
        </w:rPr>
        <w:t>In this paper we show that locally deployed and API-served LLMs disclose secrets embedded in their system prompts, that a non-trivial share of this disclosure occurs only in the reasoning channel and is therefore invisible to output-only inspection, and that a four-layer peripheral gateway removes the leak without touching the model. This is significant because enterprises increasingly delegate operational credentials to LLM assistants while measuring safety on the final response alone.</w:t>
      </w:r>
    </w:p>
    <w:p>
      <w:pPr>
        <w:spacing w:line="276" w:lineRule="auto" w:after="12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audit of conventional out-of-distribution (OOD) benchmarks revealed a pervasive 76.9% source-level overlap with training corpora, artificially inflating reported safety figures.</w:t>
      </w:r>
    </w:p>
    <w:p>
      <w:pPr>
        <w:spacing w:line="276" w:lineRule="auto" w:after="12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four-layer application security gateway (L0 Structural Normalizer, L1 Sub-millisecond Deterministic Regex, L2 12-Language mmBERT-base Transformer Classifier, and L3 Egress DLP Masker governed by an adaptive OR-Gate). NeuralShield runs entirely on commodity dual-thread CPU hardware with a median latency of ~50.6 ms (FP32 ONNX runtime), delivering high throughput without requiring expensive GPU infrastructure. Key scientific highlights include:</w:t>
      </w:r>
    </w:p>
    <w:p>
      <w:pPr>
        <w:spacing w:line="276" w:lineRule="auto" w:after="120" w:before="0"/>
        <w:jc w:val="both"/>
      </w:pPr>
      <w:r>
        <w:rPr>
          <w:rFonts w:ascii="Times New Roman" w:hAnsi="Times New Roman"/>
          <w:b/>
          <w:sz w:val="22"/>
        </w:rPr>
        <w:t xml:space="preserve">• Source-Disjoint Fair Parity: </w:t>
      </w:r>
      <w:r>
        <w:rPr>
          <w:rFonts w:ascii="Times New Roman" w:hAnsi="Times New Roman"/>
          <w:sz w:val="22"/>
        </w:rPr>
        <w:t>On a rigorously source-disjoint fair 12-language benchmark (N=2,849), NeuralShield demonstrates statistical parity in Macro-F1 with a commercial guardrail (Patronus Wolf Defender: 84.86% vs. 84.23%, overlapping 95% cluster-bootstrap confidence intervals), while achieving higher recall on native non-translated corpora (+34.4 pp on native Turkish; AUC 0.890 vs. 0.631 on native Cyrillic Russian).</w:t>
      </w:r>
    </w:p>
    <w:p>
      <w:pPr>
        <w:spacing w:line="276" w:lineRule="auto" w:after="120" w:before="0"/>
        <w:jc w:val="both"/>
      </w:pPr>
      <w:r>
        <w:rPr>
          <w:rFonts w:ascii="Times New Roman" w:hAnsi="Times New Roman"/>
          <w:b/>
          <w:sz w:val="22"/>
        </w:rPr>
        <w:t xml:space="preserve">• 14-Model Empirical Red-Teaming: </w:t>
      </w:r>
      <w:r>
        <w:rPr>
          <w:rFonts w:ascii="Times New Roman" w:hAnsi="Times New Roman"/>
          <w:sz w:val="22"/>
        </w:rPr>
        <w:t>Empirical red-teaming across 14 diverse LLMs (from 1.5B edge models to Tier-2 enterprise models and Tier-3 flagship models evaluated on TÜBİTAK ULAKBİM EVREN H200 supercomputing infrastructure) blocked all 101 curated in-domain attacks, driving attack success rates (ASR) from up to 40.59% (Mistral-7B-v0.3) to flat 0.00%.</w:t>
      </w:r>
    </w:p>
    <w:p>
      <w:pPr>
        <w:spacing w:line="276" w:lineRule="auto" w:after="12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76" w:lineRule="auto" w:after="120" w:before="0"/>
        <w:jc w:val="both"/>
      </w:pPr>
      <w:r>
        <w:rPr>
          <w:rFonts w:ascii="Times New Roman" w:hAnsi="Times New Roman"/>
          <w:b/>
          <w:sz w:val="22"/>
        </w:rPr>
        <w:t xml:space="preserve">• Reviewer-Proof Full-Pool Ablations: </w:t>
      </w:r>
      <w:r>
        <w:rPr>
          <w:rFonts w:ascii="Times New Roman" w:hAnsi="Times New Roman"/>
          <w:sz w:val="22"/>
        </w:rPr>
        <w:t>Full-sample (N=101) paired McNemar tests prove the absence of a statistically significant quantization effect (4-bit NF4 vs. uncompressed FP16 exhibit overlapping CIs, p=0.804 on Llama-3.1-8B), while demonstrating that aggressive system prompt hardening leaves 16.83% residual leakage and also produces 1.67% benign canary leakage on legitimate user traffic.</w:t>
      </w:r>
    </w:p>
    <w:p>
      <w:pPr>
        <w:spacing w:line="276" w:lineRule="auto" w:after="12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robust computational engineering. The work presents both rigorous theoretical evaluation (cluster-bootstrap resampling, exact McNemar tests, Wilson score intervals) and practical systems engineering validated under real-world operational constraints.</w:t>
      </w:r>
    </w:p>
    <w:p>
      <w:pPr>
        <w:spacing w:line="276"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76" w:lineRule="auto" w:after="24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evaluation harnesses, and full per-item JSON outputs have been open-sourced and archived on GitHub (https://github.com/Mustafa-Caliskan/ai-soc-agent-lab) to guarantee absolute reproducibility.</w:t>
        <w:br/>
        <w:t>5. Blind review requirements have been fully respected: author names and affiliations have been strictly omitted from the main manuscript (docs/NeuralShield_CI_Manuscript.docx) and provided separately in the Title Page (docs/Title_Page.docx).</w:t>
      </w:r>
    </w:p>
    <w:p>
      <w:pPr>
        <w:spacing w:before="160" w:after="80"/>
      </w:pPr>
      <w:r>
        <w:rPr>
          <w:rFonts w:ascii="Times New Roman" w:hAnsi="Times New Roman"/>
          <w:sz w:val="22"/>
        </w:rPr>
        <w:t>Please address all correspondence concerning this manuscript to me at 2211404051@ogr.mehmetakif.edu.tr.</w:t>
        <w:br/>
        <w:br/>
        <w:t>Thank you very much for your time, consideration, and management of the peer-review process.</w:t>
        <w:br/>
        <w:br/>
        <w:t>Sincerely yours,</w:t>
      </w:r>
    </w:p>
    <w:p>
      <w:pPr>
        <w:spacing w:before="24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2211404051@ogr.mehmetakif.edu.tr</w:t>
        <w:br/>
        <w:t>ORCID: 0009-0004-3861-7628</w:t>
        <w:br/>
        <w:br/>
        <w:t>On behalf of:</w:t>
        <w:br/>
        <w:t>Prof. Dr. Ali Hakan IŞIK (Co-Author &amp; Academic Advisor)</w:t>
        <w:br/>
        <w:t>Email: ahkan@mehmetakif.edu.tr | ORCID: 0000-0003-3561-9375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