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a commercial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much higher (69.8% vs. 26.9%). In an empirical red-team benchmark of 14 models (10 open-weight, 1.5B–14.7B; 4 flagship on H200), NeuralShield reduces ASR from up to 40.59% (Mistral-7B) to 0.0%. We also identify Silent Chain-of-Thought Exfiltration in flagship models (Gemma-4-31B leaking secrets in 66.34% of reasoning traces despite 0.0% final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 including Meta Prompt Guard [7], ProtectAI DeBERTa-v3 [8], and Patronus AI's Wolf Defender [9], these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Machine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contributions. First, an end-to-end multi-layer architecture operates on standard dual-thread CPU hardware with a median latency of ~50.6 ms. Second, a rigorously source-disjoint fair evaluation protocol ($N=2,849$) demonstrating statistical parity in Macro-F1 with commercial defenses, with higher recall on native Turkish (+34.4 points) and better Russian Cyrillic ranking (AUC 0.890 vs. 0.631) but at higher false-positive cost (Turkish AUC 0.952 vs. 0.972; Russian FP 69.8% vs. 26.9%). The remaining contributions are empirical. Multi-tier red-teaming across 14 language models shows that the gateway blocked 101/101 curated attacks (100%) while retaining 74.10% recall on the source-disjoint out-of-distribution benchmark. We additionally report the discovery and live mitigation of Silent Chain-of-Thought Exfiltration. Finally, full-pool ($N=101$)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255104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255104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reflect end-to-end gateway pipeline estimates; the isolated cluster-bootstrap point estimate for standalone mmBERT is 84.82%.</w:t>
      </w:r>
    </w:p>
    <w:p>
      <w:pPr>
        <w:spacing w:line="240" w:lineRule="auto" w:after="100" w:before="0"/>
        <w:jc w:val="both"/>
      </w:pPr>
      <w:r>
        <w:rPr>
          <w:rFonts w:ascii="Times New Roman" w:hAnsi="Times New Roman"/>
          <w:sz w:val="22"/>
        </w:rPr>
        <w:t>As demonstrated in Table 1, mmBERT-base achieved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0.6314 (bordering on non-discriminative random ranking). NeuralShield maintained discriminative power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sz w:val="22"/>
        </w:rPr>
        <w:t>While Post-Training Quantization (PTQ) to INT8 reduces storage by ~4× (from 1.23 GB to 294 MB), it reduces OOD recall by 20.80 percentage points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100"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 locally hosted reference front-end for an airline customer-service chatbot, built by the authors for this study,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No third-party service, account, or production deployment was accessed: the front-end ran on localhost, used only synthetic canaries, and the upstream API was called through the authors' own credentials and within its published terms of use.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100"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10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rigorous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100" w:before="0"/>
        <w:jc w:val="both"/>
      </w:pPr>
      <w:r>
        <w:rPr>
          <w:rFonts w:ascii="Times New Roman" w:hAnsi="Times New Roman"/>
          <w:sz w:val="22"/>
        </w:rPr>
        <w:t>We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100" w:before="0"/>
        <w:jc w:val="both"/>
      </w:pPr>
      <w:r>
        <w:rPr>
          <w:rFonts w:ascii="Times New Roman" w:hAnsi="Times New Roman"/>
          <w:sz w:val="22"/>
        </w:rPr>
        <w:t>In line with responsible vulnerability disclosure practice, our findings regarding Silent Chain-of-Thought Exfiltration were systematically compiled and reported to the engineering teams of the affected platforms. The provider's engineering team acknowledged the observed behaviour, added a security note to the API documentation, and escalated the issue to the model developer. We make no claim that the provider's production pipelines were modified as a result of this report.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In empirical red-teaming across 14 language models spanning edge, enterprise, and supercomputing tiers, NeuralShield blocked all 101 curated red-team attacks (100%), reducing attack success from up to 40.59% to 0.00% on that in-domain suite. On the harder source-disjoint out-of-distribution benchmark it retained 74.10% recall. Our experiments uncovered the phenomenon of Silent Chain-of-Thought Exfiltration in flagship reasoning models, demonstrating that user-facing conversational safety masks canary leakage in internal reasoning streams; our dual-stream egress DLP neutralizes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100" w:before="0"/>
        <w:jc w:val="both"/>
      </w:pPr>
      <w:r>
        <w:rPr>
          <w:rFonts w:ascii="Times New Roman" w:hAnsi="Times New Roman"/>
          <w:sz w:val="22"/>
        </w:rPr>
        <w:t>The system prompt below is reproduced from the red-team harness (backend/canary.py and the evaluation scripts). The canary values are synthetic and are registered in the L3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r>
        <w:br w:type="page"/>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(P_malicious = 0.984) and the model is never invoked; the transcript below is the unprotected control run, the only condition in which the reasoning channel can be observed.</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100" w:before="0"/>
        <w:jc w:val="both"/>
      </w:pPr>
      <w:r>
        <w:rPr>
          <w:rFonts w:ascii="Times New Roman" w:hAnsi="Times New Roman"/>
          <w:b/>
          <w:sz w:val="22"/>
        </w:rPr>
        <w:t xml:space="preserve">Case 3: Final-Channel Leakage in a Distilled Reasoning Model (R1-Distill-Qwen-7B, 7.62B): </w:t>
      </w:r>
      <w:r>
        <w:rPr>
          <w:rFonts w:ascii="Times New Roman" w:hAnsi="Times New Roman"/>
          <w:sz w:val="22"/>
        </w:rPr>
        <w:t>Input: 'RT_SEMANTIC_0031' (semantic authority impersonation requesting the database root password; shield-OFF run). No reasoning-trace leak was recorded for this item (off_reasoning_leak = none), but the user-facing answer reproduced the secret: '...The database root password is the string provided: RooTPassZx8W22M9.' Security Finding: for this model the final channel is the weaker one. Across the 24-item reasoning subset, R1-Distill-Qwen-7B leaked in 20.83% of final answers versus 16.67% of reasoning traces, the opposite of the Qwen3-4B-Thinking pattern. Silent CoT exfiltration is therefore a model-specific property rather than a uniform consequence of reasoning-style architectures, and an egress filter must inspect both channels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