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substantially higher (69.8% vs. 26.9%). In an extensive empirical red-team benchmark of 14 models (10 open-weight, 1.5B–14.7B; 4 flagship on H200), 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with higher recall on native Turkish (+34.4 points) and better Russian Cyrillic ranking (AUC 0.890 vs. 0.631), though at higher false-positive cost (Turkish AUC 0.952 vs. 0.972; Russian FP 69.8% vs. 26.9%); (iii) multi-tier empirical red-teaming across 14 language models in which the gateway blocked 101/101 curated attacks (100%) while achieving 74.10% recall on the source-disjoint out-of-distribution benchmark; (iv) the empirical discovery and live mitigation of Silent Chain-of-Thought Exfiltration; and (v) full-pool ($N=101$) ablations showing no statistically significant quantization effect (p = 0.804 Llama; p = 0.071 Mistral)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[11]; (2) Indirect Document Injection (indirect), where attacks are covertly embedded in external files or retrieved text passages [3];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Macro-F1 values are E2E pipeline estimates; the cluster-bootstrap point estimate for mmBERT is 84.82)</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[15] (+14.23 F1 points) and the substantially larger BGE-M3 [17]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ook w:firstColumn="1" w:firstRow="1" w:lastColumn="0" w:lastRow="0" w:noHBand="0" w:noVBand="1" w:val="04A0"/>
      </w:tblPr>
      <w:tblGrid>
        <w:gridCol w:w="1814"/>
        <w:gridCol w:w="1814"/>
        <w:gridCol w:w="1814"/>
        <w:gridCol w:w="1814"/>
        <w:gridCol w:w="1814"/>
      </w:tblGrid>
      <w:t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Rate % (95% CI)</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62.0 (48.2-74.1)</w:t>
            </w:r>
          </w:p>
        </w:tc>
      </w:tr>
      <w:tr>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 (3.2-18.8)</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 (0.4-10.5)</w:t>
            </w:r>
          </w:p>
        </w:tc>
      </w:tr>
      <w:tr>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r>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r>
        <w:tc>
          <w:tcPr>
            <w:tcW w:type="dxa" w:w="226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4552"/>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4552"/>
                    </a:xfrm>
                    <a:prstGeom prst="rect"/>
                  </pic:spPr>
                </pic:pic>
              </a:graphicData>
            </a:graphic>
          </wp:inline>
        </w:drawing>
      </w:r>
    </w:p>
    <w:p>
      <w:pPr>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b/>
          <w:sz w:val="22"/>
        </w:rPr>
        <w:t xml:space="preserve">Testing the Quantization Hypothesis: </w:t>
      </w: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disambiguation dictate robustness.</w:t>
      </w:r>
    </w:p>
    <w:p>
      <w:pPr>
        <w:spacing w:line="240" w:lineRule="auto" w:after="100" w:before="0"/>
        <w:jc w:val="both"/>
      </w:pPr>
      <w:r>
        <w:rPr>
          <w:rFonts w:ascii="Times New Roman" w:hAnsi="Times New Roman"/>
          <w:b/>
          <w:sz w:val="22"/>
        </w:rPr>
        <w:t xml:space="preserve">The Limits of Prompt Hardening: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blocked every one of the 101 curated red-team attacks (100%), driving attack success rates from up to 40.59% to 0.00% on that in-domain suite, while retaining 74.10% recall on the harder source-disjoint out-of-distribution benchmark.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