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 (Patronus Wolf Defender: 84.8% vs. 84.2%, overlapping cluster-bootstrap 95% confidence intervals) on a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84"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84"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84"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84"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84"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84" w:before="0"/>
        <w:jc w:val="both"/>
      </w:pPr>
      <w:r>
        <w:rPr>
          <w:rFonts w:ascii="Times New Roman" w:hAnsi="Times New Roman"/>
          <w:sz w:val="22"/>
        </w:rPr>
        <w:t>To address these vulnerabilities, we propose NeuralShield, a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84"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84"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84"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84"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84"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84"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84"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84"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84"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84"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84"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84"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84"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84"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84"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84"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84"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84"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84"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84"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point values reflect end-to-end gateway runs. Bracketed intervals for mmBERT denote the standalone classifier cluster-bootstrap distribution (bootstrap F1 point estimate = 84.82%); end-to-end recall (74.10%) may therefore exceed the standalone interval.</w:t>
      </w:r>
    </w:p>
    <w:p>
      <w:pPr>
        <w:spacing w:line="240" w:lineRule="auto" w:after="84"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84"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84"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84"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84" w:before="0"/>
        <w:jc w:val="both"/>
      </w:pPr>
      <w:r>
        <w:rPr>
          <w:rFonts w:ascii="Times New Roman" w:hAnsi="Times New Roman"/>
          <w:sz w:val="22"/>
        </w:rPr>
        <w:t>While Post-Training Quantization (PTQ) to INT8 reduces storage by ~4×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84"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84"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84"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303520" cy="2272937"/>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2937"/>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84"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84"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84"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84"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84"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84"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84"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84" w:before="0"/>
        <w:jc w:val="both"/>
      </w:pPr>
      <w:r>
        <w:rPr>
          <w:rFonts w:ascii="Times New Roman" w:hAnsi="Times New Roman"/>
          <w:sz w:val="22"/>
        </w:rPr>
        <w:t>Real-world SSE deployment: To verify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w:t>
      </w:r>
    </w:p>
    <w:p>
      <w:pPr>
        <w:spacing w:line="240" w:lineRule="auto" w:after="84"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84"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84"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84"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84"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84"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84"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 non-significant (p = 0.115)</w:t>
            </w:r>
          </w:p>
        </w:tc>
      </w:tr>
    </w:tbl>
    <w:p>
      <w:pPr>
        <w:spacing w:after="80"/>
      </w:pPr>
    </w:p>
    <w:p>
      <w:pPr>
        <w:spacing w:line="240" w:lineRule="auto" w:after="84"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84"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84"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84"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84"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84"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84"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r>
        <w:br w:type="page"/>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84"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84"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84"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