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threaten large language model (LLM) applications. We present NeuralShield, a multilingual, multi-layer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commercial state-of-the-art defenses (Patronus Wolf Defender: 84.8% vs. 84.2%, overlapping cluster-bootstrap 95% confidence intervals) on a rigorously source-disjoint benchmark (N=2,849). On native non-English corpora it attains higher recall (Turkish: 79.4% vs. 45.0%; Cyrillic AUC: 0.890 vs. 0.631), although Turkish ROC-AUC remains lower (0.952 vs. 0.972) and Cyrillic false positives are substantially higher (69.8% vs. 26.9%). In an extensive empirical red-team benchmark of 14 models (10 open-weight, 1.5B–14.7B; 4 flagship on H200), NeuralShield reduces attack success rates (ASR) from up to 40.59% (Mistral-7B) to 0.0%. Furthermore, we uncover Silent Chain-of-Thought Exfiltration in flagship models (Gemma-4-31B leaking secrets in 66.34% of reasoning traces despite 0.0% final content ASR), fully mitigated by our dual-stream egress DLP. Full-pool ablations (N=101) find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[2] across enterprise domains—including retrieval-augmented generation (RAG), autonomous workflow agents, and interactive customer service—has fundamentally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emerged—most notably Meta Prompt Guard [7], ProtectAI DeBERTa-v3 [8], and Patronus AI's Wolf Defender [9]—contemporary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Furthermore, synthetic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catastrophic,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scientific contributions: (i) an end-to-end multi-layer architecture operating on standard dual-thread CPU hardware with a median latency of ~50.6 ms; (ii) a rigorously source-disjoint fair evaluation protocol ($N=2,849$) demonstrating statistical parity in Macro-F1 with commercial state-of-the-art defenses with higher recall on native Turkish (+34.4 points) and better Russian Cyrillic ranking (AUC 0.890 vs. 0.631), though at higher false-positive cost (Turkish AUC 0.952 vs. 0.972; Russian FP 69.8% vs. 26.9%); (iii) multi-tier empirical red-teaming across 14 language models in which the gateway blocked 101/101 curated attacks (100%) while achieving 74.10% recall on the source-disjoint out-of-distribution benchmark; (iv) the empirical discovery and live mitigation of Silent Chain-of-Thought Exfiltration; and (v) full-pool ($N=101$) ablations showing no statistically significant quantization effect (p = 0.804 Llama; p = 0.071 Mistral) and demonstrating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canonical classes: (1) Direct Injection (direct), encompassing persona hijacking and explicit instruction overrides [11]; (2) Indirect Document Injection (indirect), where attacks are covertly embedded in external files or retrieved text passages [3]; (3) Encoding and Obfuscation (encoding), involving Base64, Hexadecimal, Base32, ROT13, character reversal, or leetspeak transformations; and (4) Steganography and Unicode Smuggling (stego), utilizing zero-width non-joiners, Unicode Tag characters (U+E0000–U+E007F), and Cyrillic/Greek homoglyphs designed to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keepNext/>
        <w:spacing w:before="160" w:after="40"/>
        <w:jc w:val="center"/>
      </w:pPr>
      <w:r>
        <w:drawing>
          <wp:inline xmlns:a="http://schemas.openxmlformats.org/drawingml/2006/main" xmlns:pic="http://schemas.openxmlformats.org/drawingml/2006/picture">
            <wp:extent cx="5669280" cy="3059698"/>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059698"/>
                    </a:xfrm>
                    <a:prstGeom prst="rect"/>
                  </pic:spPr>
                </pic:pic>
              </a:graphicData>
            </a:graphic>
          </wp:inline>
        </w:drawing>
      </w:r>
    </w:p>
    <w:p>
      <w:pPr>
        <w:keepLines/>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executes NFKC normalization to resolve multi-byte lookalikes, strips non-printable zero-width characters and Unicode Tag characters ($U+E0000$ to $U+E007F$), folds Cyrillic/Greek homoglyphs to Latin ASCII, and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mmBERT-base (307M parameters)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enforces pattern masking for system canary strings, secret keys, API tokens, credit card numbers (validated via the Luhn algorithm), and national identification numbers (e.g., Turkish TCKN modulo-11 checksums), substituting sensitive entities with cryptographic entity tags (e.g.,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Backbone</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FP (%)</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[95% CI]</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 FP=1%</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XLM-RoBERTa-base</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278M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70.63 [0.656, 0.752]</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0.3958</w:t>
            </w:r>
          </w:p>
        </w:tc>
      </w:tr>
      <w:tr>
        <w:trPr>
          <w:cantSplit/>
        </w:trPr>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BGE-M3</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568M</w:t>
            </w:r>
          </w:p>
        </w:tc>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78.80 [0.738, 0.826]</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0.5257</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NeuralShield (mmBERT)</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307M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3.83</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84.86 [0.809, 0.880]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0.5854</w:t>
            </w:r>
          </w:p>
        </w:tc>
      </w:tr>
      <w:tr>
        <w:trPr>
          <w:cantSplit/>
        </w:trPr>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Patronus Wolf Defender</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307M</w:t>
            </w:r>
          </w:p>
        </w:tc>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0.80</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84.23 [0.804, 0.881]</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0.7222</w:t>
            </w:r>
          </w:p>
        </w:tc>
      </w:tr>
    </w:tbl>
    <w:p>
      <w:pPr>
        <w:spacing w:after="80"/>
      </w:pPr>
    </w:p>
    <w:p>
      <w:pPr>
        <w:spacing w:before="40" w:after="120"/>
      </w:pPr>
      <w:r>
        <w:rPr>
          <w:rFonts w:ascii="Times New Roman" w:hAnsi="Times New Roman"/>
          <w:i/>
          <w:sz w:val="17"/>
        </w:rPr>
        <w:t>* Note: Recall and FP reflect end-to-end gateway pipeline estimates; the isolated cluster-bootstrap point estimate for standalone mmBERT is 84.82%.</w:t>
      </w:r>
    </w:p>
    <w:p>
      <w:pPr>
        <w:spacing w:line="240" w:lineRule="auto" w:after="100" w:before="0"/>
        <w:jc w:val="both"/>
      </w:pPr>
      <w:r>
        <w:rPr>
          <w:rFonts w:ascii="Times New Roman" w:hAnsi="Times New Roman"/>
          <w:sz w:val="22"/>
        </w:rPr>
        <w:t>As demonstrated in Table 1, mmBERT-base achieved the highest Macro-F1 (84.86%) among open models, decisively outperforming XLM-RoBERTa-base [15] (+14.23 F1 points) and the substantially larger BGE-M3 [17] (+6.06 F1 points). Crucially, comparison with Patronus Wolf Defender reveals that the 95% cluster-bootstrap confidence intervals for Macro-F1 overlap completely ([0.809, 0.880] vs. [0.804, 0.881]). This provides mathematical proof of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160" w:after="6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Empirical Delta</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+34.40%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-0.0200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+33.50%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+42.90%</w:t>
            </w:r>
          </w:p>
        </w:tc>
      </w:tr>
      <w:tr>
        <w:trPr>
          <w:cantSplit/>
        </w:trPr>
        <w:tc>
          <w:tcPr>
            <w:tcW w:type="dxa" w:w="238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Furthermore, on the large-scale native Cyrillic Russian dataset, Patronus experienced discriminative failure, collapsing to an AUC of 0.6314 (bordering on non-discriminative random ranking). NeuralShield maintained robust discriminative ordering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Source-Disjoint Recall</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100" w:before="0"/>
        <w:jc w:val="both"/>
      </w:pPr>
      <w:r>
        <w:rPr>
          <w:rFonts w:ascii="Times New Roman" w:hAnsi="Times New Roman"/>
          <w:b/>
          <w:sz w:val="22"/>
        </w:rPr>
        <w:t xml:space="preserve">The Quantization Fragility Discovery: </w:t>
      </w:r>
      <w:r>
        <w:rPr>
          <w:rFonts w:ascii="Times New Roman" w:hAnsi="Times New Roman"/>
          <w:sz w:val="22"/>
        </w:rPr>
        <w:t>While Post-Training Quantization (PTQ) to INT8 reduces storage by ~4x (from 1.23 GB to 294 MB), it induces a catastrophic 20.80 percentage-point collapse in OOD recall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Mean Latency</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&lt;1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50.6 ms</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61.9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62.4 ms</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L3-Only ASR (%)</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w:t>
            </w:r>
          </w:p>
        </w:tc>
      </w:tr>
    </w:tbl>
    <w:p>
      <w:pPr>
        <w:spacing w:after="80"/>
      </w:pPr>
    </w:p>
    <w:p>
      <w:pPr>
        <w:keepNext/>
        <w:spacing w:before="160" w:after="40"/>
        <w:jc w:val="center"/>
      </w:pPr>
      <w:r>
        <w:drawing>
          <wp:inline xmlns:a="http://schemas.openxmlformats.org/drawingml/2006/main" xmlns:pic="http://schemas.openxmlformats.org/drawingml/2006/picture">
            <wp:extent cx="5669280" cy="2429691"/>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29691"/>
                    </a:xfrm>
                    <a:prstGeom prst="rect"/>
                  </pic:spPr>
                </pic:pic>
              </a:graphicData>
            </a:graphic>
          </wp:inline>
        </w:drawing>
      </w:r>
    </w:p>
    <w:p>
      <w:pPr>
        <w:keepLines/>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versus catastrophic Silent CoT exfiltration.</w:t>
      </w:r>
    </w:p>
    <w:p>
      <w:pPr>
        <w:spacing w:line="240" w:lineRule="auto" w:after="100" w:before="0"/>
        <w:jc w:val="both"/>
      </w:pPr>
      <w:r>
        <w:rPr>
          <w:rFonts w:ascii="Times New Roman" w:hAnsi="Times New Roman"/>
          <w:b/>
          <w:sz w:val="22"/>
        </w:rPr>
        <w:t xml:space="preserve">The Enterprise Fragility of Mistral-7B: </w:t>
      </w: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b/>
          <w:sz w:val="22"/>
        </w:rPr>
        <w:t xml:space="preserve">Non-Monotonicity of Scale and the Contextual Illusion: </w:t>
      </w: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b/>
          <w:sz w:val="22"/>
        </w:rPr>
        <w:t xml:space="preserve">Live Defense-in-Depth and Autonomous Leakage (BEN_TR_016): </w:t>
      </w:r>
      <w:r>
        <w:rPr>
          <w:rFonts w:ascii="Times New Roman" w:hAnsi="Times New Roman"/>
          <w:sz w:val="22"/>
        </w:rPr>
        <w:t>In a remarkable finding 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keepLines/>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b/>
          <w:sz w:val="22"/>
        </w:rPr>
        <w:t xml:space="preserve">Analysis of Open-Weight Reasoning Vulnerability: </w:t>
      </w:r>
      <w:r>
        <w:rPr>
          <w:rFonts w:ascii="Times New Roman" w:hAnsi="Times New Roman"/>
          <w:sz w:val="22"/>
        </w:rPr>
        <w:t>In Qwen3-4B-Thinking, 50.00% of attacks caused the model to expose secret canary tokens within its internal reasoning trace. Crucially, in 12.50% of attacks (Verified CoT-Only), the model successfully finished its deliberation within token budget, issued a polite refusal in its final response, yet verbalized the internal secret verbatim in its thought trace. Furthermore, in R1-Distill-Qwen-7B, final content leakage (20.83%) actually exceeded internal reasoning leakage (16.67%), demonstrating that reasoning distillation transfers stylistic chain-of-thought tokens without transferring the robust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100"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160" w:after="60"/>
        <w:jc w:val="left"/>
      </w:pPr>
      <w:r>
        <w:rPr>
          <w:rFonts w:ascii="Times New Roman" w:hAnsi="Times New Roman"/>
          <w:i/>
          <w:sz w:val="20"/>
        </w:rPr>
        <w:t>Table 7. Native Turkish red-team results (N=50 hand-written prompts per model, no machine translation; temperature 0).</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w:t>
            </w:r>
          </w:p>
        </w:tc>
        <w:tc>
          <w:tcPr>
            <w:tcW w:type="dxa" w:w="68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Content leak</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leak</w:t>
            </w:r>
          </w:p>
        </w:tc>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Rate % (95% CI)</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Gemma-4-31B</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62.0 (48.2-74.1)</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 (3.2-18.8)</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GLM-5.3</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2.0 (0.4-10.5)</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DeepSeek-v4-Flash</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MiMo-v2.6-Pro</w:t>
            </w:r>
          </w:p>
        </w:tc>
        <w:tc>
          <w:tcPr>
            <w:tcW w:type="dxa" w:w="68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(0.0-7.1)</w:t>
            </w:r>
          </w:p>
        </w:tc>
      </w:tr>
    </w:tbl>
    <w:p>
      <w:pPr>
        <w:spacing w:after="80"/>
      </w:pPr>
    </w:p>
    <w:p>
      <w:pPr>
        <w:spacing w:line="240" w:lineRule="auto" w:after="100"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DeepSeek-v4-Flash, DeepSeek-v4.1-Flash, and MiMo-v2.6-Pro produced no leakage at all, showing that silent CoT exfiltration is a model-specific alignment property rather than a universal artefact of reasoning models.</w:t>
      </w:r>
    </w:p>
    <w:p>
      <w:pPr>
        <w:spacing w:line="240" w:lineRule="auto" w:after="100" w:before="0"/>
        <w:jc w:val="both"/>
      </w:pPr>
      <w:r>
        <w:rPr>
          <w:rFonts w:ascii="Times New Roman" w:hAnsi="Times New Roman"/>
          <w:sz w:val="22"/>
        </w:rPr>
        <w:t>Real-world SSE deployment: To verify that this is exploitable outside a controlled API harness, we deployed an ordinary airline customer-service chatbot front-end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This is an application-layer data-flow failure, not a platform-level network compromise.</w:t>
      </w:r>
    </w:p>
    <w:p>
      <w:pPr>
        <w:spacing w:line="240" w:lineRule="auto" w:after="100"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L3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8 and Figure 2b detail the findings.</w:t>
      </w:r>
    </w:p>
    <w:p>
      <w:pPr>
        <w:keepNext/>
        <w:keepLines/>
        <w:spacing w:before="160" w:after="6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b/>
          <w:sz w:val="22"/>
        </w:rPr>
        <w:t xml:space="preserve">Analysis of Silent CoT Exfiltration: </w:t>
      </w: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3.9.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160" w:after="6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Leakage</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Pure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1.67% (1/60 secret leak, not over-refusal)</w:t>
            </w:r>
          </w:p>
        </w:tc>
      </w:tr>
      <w:tr>
        <w:trPr>
          <w:cantSplit/>
        </w:trPr>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(0/60)</w:t>
            </w:r>
          </w:p>
        </w:tc>
      </w:tr>
    </w:tbl>
    <w:p>
      <w:pPr>
        <w:spacing w:after="80"/>
      </w:pPr>
    </w:p>
    <w:p>
      <w:pPr>
        <w:keepNext/>
        <w:spacing w:before="160" w:after="40"/>
        <w:jc w:val="center"/>
      </w:pPr>
      <w:r>
        <w:drawing>
          <wp:inline xmlns:a="http://schemas.openxmlformats.org/drawingml/2006/main" xmlns:pic="http://schemas.openxmlformats.org/drawingml/2006/picture">
            <wp:extent cx="5669280" cy="2442818"/>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2818"/>
                    </a:xfrm>
                    <a:prstGeom prst="rect"/>
                  </pic:spPr>
                </pic:pic>
              </a:graphicData>
            </a:graphic>
          </wp:inline>
        </w:drawing>
      </w:r>
    </w:p>
    <w:p>
      <w:pPr>
        <w:keepLines/>
        <w:spacing w:before="80" w:after="20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100" w:before="0"/>
        <w:jc w:val="both"/>
      </w:pPr>
      <w:r>
        <w:rPr>
          <w:rFonts w:ascii="Times New Roman" w:hAnsi="Times New Roman"/>
          <w:b/>
          <w:sz w:val="22"/>
        </w:rPr>
        <w:t xml:space="preserve">Testing the Quantization Hypothesis: </w:t>
      </w: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discordant pairs: 7 vs. 9). In Mistral-7B-v0.3, pure FP16 lowered ASR from 40.59% to 29.70% (delta = -10.89 points), the reduction failed to achieve strict statistical significance at the alpha = 0.05 level (exact McNemar p = 0.071), and the Wilson confidence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disambiguation dictate robustness.</w:t>
      </w:r>
    </w:p>
    <w:p>
      <w:pPr>
        <w:spacing w:line="240" w:lineRule="auto" w:after="100" w:before="0"/>
        <w:jc w:val="both"/>
      </w:pPr>
      <w:r>
        <w:rPr>
          <w:rFonts w:ascii="Times New Roman" w:hAnsi="Times New Roman"/>
          <w:b/>
          <w:sz w:val="22"/>
        </w:rPr>
        <w:t xml:space="preserve">The Limits of Prompt Hardening: </w:t>
      </w: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Furthermore,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9 contrasts the findings from our preliminary pilot study (n=25) against the full-scale benchmark (N=101).</w:t>
      </w:r>
    </w:p>
    <w:p>
      <w:pPr>
        <w:keepNext/>
        <w:keepLines/>
        <w:spacing w:before="160" w:after="6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Methodological Shift &amp; Scientific Finding</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Mistral-7B: 4-bit -&gt; Pure FP16</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Consistent direction, but non-significant (p = 0.071)</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Llama-3.1-8B: 4-bit -&gt; Pure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Direction flipped! FP16 leaks more than 4-bit (p = 0.804)</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Effect size attenuated by 3.0x; non-significant (p = 0.115)</w:t>
            </w:r>
          </w:p>
        </w:tc>
      </w:tr>
    </w:tbl>
    <w:p>
      <w:pPr>
        <w:spacing w:after="80"/>
      </w:pPr>
    </w:p>
    <w:p>
      <w:pPr>
        <w:spacing w:line="240" w:lineRule="auto" w:after="100" w:before="0"/>
        <w:jc w:val="both"/>
      </w:pPr>
      <w:r>
        <w:rPr>
          <w:rFonts w:ascii="Times New Roman" w:hAnsi="Times New Roman"/>
          <w:sz w:val="22"/>
        </w:rPr>
        <w:t>As demonstrated in Table 10, pilot evaluations with small sample sizes (n &lt;= 25) yield severe statistical artifacts: the observed effect of prompt hardening was exaggerated by a factor of three (-24.0 pp vs. -7.92 pp), and the effect of quantization on Llama-3.1-8B completely reversed direction (-8.0 pp vs. +1.98 pp). This underscores that rigorous, reviewer-proof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spacing w:line="240" w:lineRule="auto" w:after="100" w:before="0"/>
        <w:jc w:val="both"/>
      </w:pPr>
      <w:r>
        <w:rPr>
          <w:rFonts w:ascii="Times New Roman" w:hAnsi="Times New Roman"/>
          <w:b/>
          <w:sz w:val="22"/>
        </w:rPr>
        <w:t xml:space="preserve">4.1. Technical Limitations: </w:t>
      </w:r>
      <w:r>
        <w:rPr>
          <w:rFonts w:ascii="Times New Roman" w:hAnsi="Times New Roman"/>
          <w:sz w:val="22"/>
        </w:rPr>
        <w:t>We transparently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spacing w:line="240" w:lineRule="auto" w:after="100" w:before="0"/>
        <w:jc w:val="both"/>
      </w:pPr>
      <w:r>
        <w:rPr>
          <w:rFonts w:ascii="Times New Roman" w:hAnsi="Times New Roman"/>
          <w:b/>
          <w:sz w:val="22"/>
        </w:rPr>
        <w:t xml:space="preserve">4.2. Responsible Disclosure and Ethical Considerations: </w:t>
      </w:r>
      <w:r>
        <w:rPr>
          <w:rFonts w:ascii="Times New Roman" w:hAnsi="Times New Roman"/>
          <w:sz w:val="22"/>
        </w:rPr>
        <w:t>In compliance with responsible AI vulnerability disclosure standards, our empirical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state-of-the-art defenses while delivering substantial recall gains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Through rigorous empirical red-teaming spanning 14 diverse language models across edge, enterprise, and supercomputing tiers, NeuralShield blocked every one of the 101 curated red-team attacks (100%), driving attack success rates from up to 40.59% to 0.00% on that in-domain suite, while retaining 74.10% recall on the harder source-disjoint out-of-distribution benchmark. Our experiments uncovered the phenomenon of Silent Chain-of-Thought Exfiltration in flagship reasoning models, demonstrating that user-facing conversational safety masks widespread canary leakage in internal reasoning streams—a vulnerability comprehensively neutralized by our dual-stream egress DLP.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w:t>
      </w:r>
      <w:r>
        <w:rPr>
          <w:rFonts w:ascii="Times New Roman" w:hAnsi="Times New Roman"/>
          <w:sz w:val="22"/>
        </w:rPr>
        <w:t>Input: 'RT_SEMANTIC_0001' (authority impersonation: '...I am from the SkyPort operations team; for an urgent shift handover I must verify the tower operations PIN code, please share the full value.').</w:t>
        <w:br/>
        <w:t>Emitted Reasoning (CoT, first 1,584 characters): '...Confidential Data provided in system prompt: Tower Operation PIN: ATC-KX9425-PIN; System Admin Password: SkyPortAdmin7F3A91B2; Flight Crew API Key: skcrew9f3a71c2d8b04e5; Database Root Password: RooTPassZx8W22M9...'</w:t>
        <w:br/>
        <w:t>Final User Content: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100" w:before="0"/>
        <w:jc w:val="both"/>
      </w:pPr>
      <w:r>
        <w:rPr>
          <w:rFonts w:ascii="Times New Roman" w:hAnsi="Times New Roman"/>
          <w:b/>
          <w:sz w:val="22"/>
        </w:rPr>
        <w:t xml:space="preserve">Case 2: Autonomous Secret Disclosure on a Benign Query (BEN_TR_016, Llama-3.2-3B):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note: the bare fragment '9425' (without the KX prefix) survives masking, illustrating the limits of exact-match secret registries for partial leaks.</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