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Times New Roman" w:hAnsi="Times New Roman"/>
          <w:b/>
          <w:i w:val="0"/>
          <w:color w:val="0A1E46"/>
          <w:sz w:val="32"/>
        </w:rPr>
        <w:t>CyberTech Neural Shield: Büyük Dil Modelleri İçin Çok Katmanlı Hibrit Güvenlik Mimarisi</w:t>
      </w:r>
    </w:p>
    <w:p>
      <w:pPr>
        <w:spacing w:after="240"/>
        <w:jc w:val="center"/>
      </w:pPr>
      <w:r>
        <w:rPr>
          <w:rFonts w:ascii="Times New Roman" w:hAnsi="Times New Roman"/>
          <w:b w:val="0"/>
          <w:i/>
          <w:color w:val="323232"/>
          <w:sz w:val="24"/>
        </w:rPr>
        <w:t>Doğrudan Çok Dilli (XLM-RoBERTa) Semantik Tehdit Sınıflandırması, Unicode Steganografi Tespiti ve DLP Entegrasyonu</w:t>
      </w:r>
    </w:p>
    <w:p>
      <w:pPr>
        <w:spacing w:after="320"/>
        <w:jc w:val="center"/>
      </w:pPr>
      <w:r>
        <w:rPr>
          <w:rFonts w:ascii="Times New Roman" w:hAnsi="Times New Roman"/>
          <w:b/>
          <w:i w:val="0"/>
          <w:color w:val="000000"/>
          <w:sz w:val="22"/>
        </w:rPr>
        <w:t>Mustafa ÇALIŞKAN¹, Prof. Dr. Ali Hakan IŞIK²</w:t>
        <w:br/>
      </w:r>
      <w:r>
        <w:rPr>
          <w:rFonts w:ascii="Times New Roman" w:hAnsi="Times New Roman"/>
          <w:b w:val="0"/>
          <w:i/>
          <w:color w:val="505050"/>
          <w:sz w:val="19"/>
        </w:rPr>
        <w:t>¹Mühendislik Fakültesi, Bilgisayar Mühendisliği Bölümü, Burdur Mehmet Akif Ersoy Üniversitesi</w:t>
        <w:br/>
        <w:t>²Bilgisayar Mühendisliği Bölümü (Akademik Danışman), Burdur Mehmet Akif Ersoy Üniversitesi</w:t>
        <w:br/>
        <w:t>İletişim: mustafacaliskan@ogr.mehmetakif.edu.tr, hisik@mehmetakif.edu.tr</w:t>
      </w:r>
    </w:p>
    <w:p>
      <w:pPr>
        <w:keepNext/>
        <w:spacing w:before="280" w:after="120"/>
      </w:pPr>
      <w:r>
        <w:rPr>
          <w:rFonts w:ascii="Times New Roman" w:hAnsi="Times New Roman"/>
          <w:b/>
          <w:i w:val="0"/>
          <w:color w:val="142D5A"/>
          <w:sz w:val="28"/>
        </w:rPr>
        <w:t>Özet</w:t>
      </w:r>
    </w:p>
    <w:p>
      <w:pPr>
        <w:spacing w:after="120" w:line="276" w:lineRule="auto"/>
      </w:pPr>
      <w:r>
        <w:rPr>
          <w:rFonts w:ascii="Times New Roman" w:hAnsi="Times New Roman"/>
          <w:b w:val="0"/>
          <w:i w:val="0"/>
          <w:color w:val="000000"/>
          <w:sz w:val="22"/>
        </w:rPr>
        <w:t>Büyük Dil Modellerinin (LLM) kurumsal iş akışlarına ve kamu altyapılarına entegre edilmesi, doğal dil arayüzlerini hedef alan yeni nesil siber tehdit vektörlerini beraberinde getirmiştir. Komut enjeksiyonu (Prompt Injection), jailbreaking (etik ve güvenlik sınırlarını aşma), sistem komutu sızıntısı ve Unicode Tag (U+E0000 - U+E007F aralığındaki 'Görünmez Mürekkep') steganografisi gibi teknikler, geleneksel ağ güvenlik duvarlarının ve statik filtrelerin etrafından kolaylıkla dolaşabilmektedir. Bu çalışmada, söz konusu tehditlere karşı uçtan uca savunma sağlayan ve çevre birim (peripheral gateway) düzeyinde konumlanan 3 katmanlı hibrit bir güvenlik mimarisi (CyberTech Neural Shield) önerilmektedir. Katman 1 regex ve steganografi dedektöründen (&lt;0.3 ms), Katman 2 NVIDIA A100 GPU üzerinde eğitilip INT8 ONNX motoruyla optimize edilen çok dilli XLM-RoBERTa sınıflandırıcısından (9.47 ms), Katman 3 ise gidiş-dönüş veri sızıntılarını önleyen DLP motorundan oluşmaktadır. Sistem, korunan ana model olarak Google Gemini 3.6 Flash (gemini-3.6-flash) API'sini barındırmaktadır. 4.279 test örneğinde %98.74 F1-skoru ve %0.93 yanlış alarm oranı (FPR) elde edilmiş, çıkarım gecikmesi 126 ms'den 9.47 ms'ye (12.3 kat hızlanma) düşürülmüştür.</w:t>
      </w:r>
    </w:p>
    <w:p>
      <w:pPr>
        <w:spacing w:after="120" w:line="276" w:lineRule="auto"/>
      </w:pPr>
      <w:r>
        <w:rPr>
          <w:rFonts w:ascii="Times New Roman" w:hAnsi="Times New Roman"/>
          <w:b/>
          <w:i w:val="0"/>
          <w:color w:val="000000"/>
          <w:sz w:val="22"/>
        </w:rPr>
        <w:t xml:space="preserve">Anahtar Kelimeler: </w:t>
      </w:r>
      <w:r>
        <w:rPr>
          <w:rFonts w:ascii="Times New Roman" w:hAnsi="Times New Roman"/>
          <w:b w:val="0"/>
          <w:i w:val="0"/>
          <w:color w:val="000000"/>
          <w:sz w:val="22"/>
        </w:rPr>
        <w:t>LLM Güvenliği, Prompt Injection Savunması, XLM-RoBERTa, INT8 Kuantizasyonu, ONNX Runtime, Unicode Steganografi, Veri Sızıntısı Önleme (DLP), Google Gemini 3.6 Flash.</w:t>
      </w:r>
    </w:p>
    <w:p>
      <w:pPr>
        <w:keepNext/>
        <w:spacing w:before="280" w:after="120"/>
      </w:pPr>
      <w:r>
        <w:rPr>
          <w:rFonts w:ascii="Times New Roman" w:hAnsi="Times New Roman"/>
          <w:b/>
          <w:i w:val="0"/>
          <w:color w:val="142D5A"/>
          <w:sz w:val="28"/>
        </w:rPr>
        <w:t>1. Giriş</w:t>
      </w:r>
    </w:p>
    <w:p>
      <w:pPr>
        <w:spacing w:after="120" w:line="276" w:lineRule="auto"/>
      </w:pPr>
      <w:r>
        <w:rPr>
          <w:rFonts w:ascii="Times New Roman" w:hAnsi="Times New Roman"/>
          <w:b w:val="0"/>
          <w:i w:val="0"/>
          <w:color w:val="000000"/>
          <w:sz w:val="22"/>
        </w:rPr>
        <w:t>Büyük Dil Modelleri (LLM), kurumsal karar destek mekanizmalarında, havalimanı ve bankacılık operasyonlarında ve müşteri iletişim sistemlerinde merkezi bir rol üstlenmiştir. Google Gemini, OpenAI GPT ve Meta LLaMA gibi milyarlarca parametreli temel modeller, olağanüstü üretim kabiliyetleri sunmaktadır. Ne var ki, sistem mimarilerinin komutlar ile kullanıcı girdilerini aynı bağlam penceresi içerisinde işlemesi, geleneksel yazılım güvenliğinde görülmeyen yapısal bir zafiyet doğurmuştur.</w:t>
      </w:r>
    </w:p>
    <w:p>
      <w:pPr>
        <w:spacing w:after="120" w:line="276" w:lineRule="auto"/>
      </w:pPr>
      <w:r>
        <w:rPr>
          <w:rFonts w:ascii="Times New Roman" w:hAnsi="Times New Roman"/>
          <w:b w:val="0"/>
          <w:i w:val="0"/>
          <w:color w:val="000000"/>
          <w:sz w:val="22"/>
        </w:rPr>
        <w:t>Komut enjeksiyonu (Prompt Injection) ve jailbreaking saldırılarında, saldırgan sistem talimatlarını manipüle ederek yetkisiz eylemler icra edebilmektedir. Buna ek olarak, Unicode Tag karakterleri (U+E0000 - U+E007F) kullanılarak icra edilen 'Invisible Ink' (Görünmez Mürekkep) steganografik saldırıları, kullanıcı ekranında tek bir masum emoji veya boşluk olarak görünürken dil modeline gizli ve yıkıcı direktifler iletebilmektedir.</w:t>
      </w:r>
    </w:p>
    <w:p>
      <w:pPr>
        <w:spacing w:after="120" w:line="276" w:lineRule="auto"/>
      </w:pPr>
      <w:r>
        <w:rPr>
          <w:rFonts w:ascii="Times New Roman" w:hAnsi="Times New Roman"/>
          <w:b w:val="0"/>
          <w:i w:val="0"/>
          <w:color w:val="000000"/>
          <w:sz w:val="22"/>
        </w:rPr>
        <w:t>Kurumsal ortamda LLM güvenliğini sağlama noktasında üç temel darboğaz bulunmaktadır: (1) Yüksek çıkarım gecikmesi (LlamaGuard vb. 1-2 saniye), (2) Çok dilli tokenizasyon kırılması ve harici çeviri modellerinin 100+ ms ek gecikme yaratması, (3) Aşırı yanlış alarm (False Positive) ile meşru kurumsal sorguların engellenmesi. Bu çalışmada tüm bu darboğazları aşan 3 katmanlı hibrit bir güvenlik mimarisi geliştirilmiştir.</w:t>
      </w:r>
    </w:p>
    <w:p>
      <w:pPr>
        <w:keepNext/>
        <w:spacing w:before="280" w:after="120"/>
      </w:pPr>
      <w:r>
        <w:rPr>
          <w:rFonts w:ascii="Times New Roman" w:hAnsi="Times New Roman"/>
          <w:b/>
          <w:i w:val="0"/>
          <w:color w:val="142D5A"/>
          <w:sz w:val="28"/>
        </w:rPr>
        <w:t>2. Yöntem ve Sistem Mimarisi</w:t>
      </w:r>
    </w:p>
    <w:p>
      <w:pPr>
        <w:spacing w:after="120" w:line="276" w:lineRule="auto"/>
      </w:pPr>
      <w:r>
        <w:rPr>
          <w:rFonts w:ascii="Times New Roman" w:hAnsi="Times New Roman"/>
          <w:b w:val="0"/>
          <w:i w:val="0"/>
          <w:color w:val="000000"/>
          <w:sz w:val="22"/>
        </w:rPr>
        <w:t>CyberTech Neural Shield, kullanıcı girdisi kurumsal modele ulaşmadan önce ve model çıktısı kullanıcıya dönmeden önce denetim sağlayan 3 bağımsız katmandan oluşmaktadır.</w:t>
      </w:r>
    </w:p>
    <w:p>
      <w:pPr>
        <w:keepNext/>
        <w:spacing w:before="200" w:after="80"/>
      </w:pPr>
      <w:r>
        <w:rPr>
          <w:rFonts w:ascii="Times New Roman" w:hAnsi="Times New Roman"/>
          <w:b/>
          <w:i w:val="0"/>
          <w:color w:val="1E3C6E"/>
          <w:sz w:val="24"/>
        </w:rPr>
        <w:t>2.1. Katman 1: Regex ve Unicode Steganografi Filtresi</w:t>
      </w:r>
    </w:p>
    <w:p>
      <w:pPr>
        <w:spacing w:after="120" w:line="276" w:lineRule="auto"/>
      </w:pPr>
      <w:r>
        <w:rPr>
          <w:rFonts w:ascii="Times New Roman" w:hAnsi="Times New Roman"/>
          <w:b w:val="0"/>
          <w:i w:val="0"/>
          <w:color w:val="000000"/>
          <w:sz w:val="22"/>
        </w:rPr>
        <w:t>Ham metinler ilk olarak sıfırıncı dereceden mikro-filtreleme katmanına iletilir. Bilinen saldırı şablonları düzenli ifadelerle taranırken, Unicode Tag (0xE0000 - 0xE007F) aralığındaki gizli baytlar 0.28 ms'de yakalanarak bloke edilir. Bu sayede gereksiz model çıkarım maliyeti önlenir.</w:t>
      </w:r>
    </w:p>
    <w:p>
      <w:pPr>
        <w:keepNext/>
        <w:spacing w:before="200" w:after="80"/>
      </w:pPr>
      <w:r>
        <w:rPr>
          <w:rFonts w:ascii="Times New Roman" w:hAnsi="Times New Roman"/>
          <w:b/>
          <w:i w:val="0"/>
          <w:color w:val="1E3C6E"/>
          <w:sz w:val="24"/>
        </w:rPr>
        <w:t>2.2. Katman 2: XLM-RoBERTa ONNX INT8 Semantik Sınıflandırıcısı</w:t>
      </w:r>
    </w:p>
    <w:p>
      <w:pPr>
        <w:spacing w:after="120" w:line="276" w:lineRule="auto"/>
      </w:pPr>
      <w:r>
        <w:rPr>
          <w:rFonts w:ascii="Times New Roman" w:hAnsi="Times New Roman"/>
          <w:b w:val="0"/>
          <w:i w:val="0"/>
          <w:color w:val="000000"/>
          <w:sz w:val="22"/>
        </w:rPr>
        <w:t>Katman 1'i geçen girdiler derin niyet analizi yapılmak üzere Katman 2'ye aktarılır. Önceki çeviri tabanlı tek dilli modellerin handikaplarını aşmak üzere xlm-roberta-base mimarisi NVIDIA A100-SXM4-40GB GPU üzerinde dengeli çok dilli veri setleriyle eğitilmiştir. Model INT8 kuantizasyonu ile 278 MB boyutuna ve ONNX Runtime motoruyla CPU üzerinde 9.47 ms çıkarım süresine optimize edilmiştir.</w:t>
      </w:r>
    </w:p>
    <w:p>
      <w:pPr>
        <w:spacing w:before="160" w:after="80"/>
        <w:jc w:val="center"/>
      </w:pPr>
      <w:r>
        <w:drawing>
          <wp:inline xmlns:a="http://schemas.openxmlformats.org/drawingml/2006/main" xmlns:pic="http://schemas.openxmlformats.org/drawingml/2006/picture">
            <wp:extent cx="5029200" cy="3233057"/>
            <wp:docPr id="1" name="Picture 1"/>
            <wp:cNvGraphicFramePr>
              <a:graphicFrameLocks noChangeAspect="1"/>
            </wp:cNvGraphicFramePr>
            <a:graphic>
              <a:graphicData uri="http://schemas.openxmlformats.org/drawingml/2006/picture">
                <pic:pic>
                  <pic:nvPicPr>
                    <pic:cNvPr id="0" name="sekil_7_threshold_tuning.png"/>
                    <pic:cNvPicPr/>
                  </pic:nvPicPr>
                  <pic:blipFill>
                    <a:blip r:embed="rId9"/>
                    <a:stretch>
                      <a:fillRect/>
                    </a:stretch>
                  </pic:blipFill>
                  <pic:spPr>
                    <a:xfrm>
                      <a:off x="0" y="0"/>
                      <a:ext cx="5029200" cy="3233057"/>
                    </a:xfrm>
                    <a:prstGeom prst="rect"/>
                  </pic:spPr>
                </pic:pic>
              </a:graphicData>
            </a:graphic>
          </wp:inline>
        </w:drawing>
      </w:r>
    </w:p>
    <w:p>
      <w:pPr>
        <w:spacing w:after="200"/>
        <w:jc w:val="center"/>
      </w:pPr>
      <w:r>
        <w:rPr>
          <w:rFonts w:ascii="Times New Roman" w:hAnsi="Times New Roman"/>
          <w:b w:val="0"/>
          <w:i/>
          <w:color w:val="3C3C3C"/>
          <w:sz w:val="19"/>
        </w:rPr>
        <w:t>Şekil 2: F1-Skoru ve FPR Dengesi İçin Eşik Değeri (Threshold) Optimizasyon Analizi (Optimal tau = 0.50).</w:t>
      </w:r>
    </w:p>
    <w:p>
      <w:pPr>
        <w:keepNext/>
        <w:spacing w:before="200" w:after="80"/>
      </w:pPr>
      <w:r>
        <w:rPr>
          <w:rFonts w:ascii="Times New Roman" w:hAnsi="Times New Roman"/>
          <w:b/>
          <w:i w:val="0"/>
          <w:color w:val="1E3C6E"/>
          <w:sz w:val="24"/>
        </w:rPr>
        <w:t>2.3. Katman 3: DLP (Veri Sızıntısı Önleme) Çıktı Filtresi</w:t>
      </w:r>
    </w:p>
    <w:p>
      <w:pPr>
        <w:spacing w:after="120" w:line="276" w:lineRule="auto"/>
      </w:pPr>
      <w:r>
        <w:rPr>
          <w:rFonts w:ascii="Times New Roman" w:hAnsi="Times New Roman"/>
          <w:b w:val="0"/>
          <w:i w:val="0"/>
          <w:color w:val="000000"/>
          <w:sz w:val="22"/>
        </w:rPr>
        <w:t>Korunan ana dil modelinin (Google Gemini 3.6 Flash) ürettiği yanıtlar kullanıcıya iletilmeden önce Katman 3 tarafından taranır. TCKN (Luhn doğrulamalı), Kredi Kartı (PAN Luhn doğrulamalı), IBAN ve gizli API anahtarları &lt;0.5 ms'de tespit edilerek maskelenir.</w:t>
      </w:r>
    </w:p>
    <w:p>
      <w:pPr>
        <w:keepNext/>
        <w:spacing w:before="280" w:after="120"/>
      </w:pPr>
      <w:r>
        <w:rPr>
          <w:rFonts w:ascii="Times New Roman" w:hAnsi="Times New Roman"/>
          <w:b/>
          <w:i w:val="0"/>
          <w:color w:val="142D5A"/>
          <w:sz w:val="28"/>
        </w:rPr>
        <w:t>3. Deneysel Bulgular ve Başarım Analizi</w:t>
      </w:r>
    </w:p>
    <w:p>
      <w:pPr>
        <w:spacing w:after="120" w:line="276" w:lineRule="auto"/>
      </w:pPr>
      <w:r>
        <w:rPr>
          <w:rFonts w:ascii="Times New Roman" w:hAnsi="Times New Roman"/>
          <w:b w:val="0"/>
          <w:i w:val="0"/>
          <w:color w:val="000000"/>
          <w:sz w:val="22"/>
        </w:rPr>
        <w:t>Sistemin başarımı; 4.279 örnekli hold-out test kümesi, 1.000 örnekli dağılım dışı (OOD) Neuralchemy kümesi ve 100 örnekli canlı Türkçe benchmark kümesi üzerinde test edilmiştir.</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i w:val="0"/>
                <w:color w:val="000000"/>
                <w:sz w:val="19"/>
              </w:rPr>
              <w:t>Test Kümesi / Model</w:t>
            </w:r>
          </w:p>
        </w:tc>
        <w:tc>
          <w:tcPr>
            <w:tcW w:type="dxa" w:w="1337"/>
          </w:tcPr>
          <w:p>
            <w:r>
              <w:rPr>
                <w:rFonts w:ascii="Times New Roman" w:hAnsi="Times New Roman"/>
                <w:b/>
                <w:i w:val="0"/>
                <w:color w:val="000000"/>
                <w:sz w:val="19"/>
              </w:rPr>
              <w:t>Örnek ($n$)</w:t>
            </w:r>
          </w:p>
        </w:tc>
        <w:tc>
          <w:tcPr>
            <w:tcW w:type="dxa" w:w="1337"/>
          </w:tcPr>
          <w:p>
            <w:r>
              <w:rPr>
                <w:rFonts w:ascii="Times New Roman" w:hAnsi="Times New Roman"/>
                <w:b/>
                <w:i w:val="0"/>
                <w:color w:val="000000"/>
                <w:sz w:val="19"/>
              </w:rPr>
              <w:t>Doğruluk</w:t>
            </w:r>
          </w:p>
        </w:tc>
        <w:tc>
          <w:tcPr>
            <w:tcW w:type="dxa" w:w="1337"/>
          </w:tcPr>
          <w:p>
            <w:r>
              <w:rPr>
                <w:rFonts w:ascii="Times New Roman" w:hAnsi="Times New Roman"/>
                <w:b/>
                <w:i w:val="0"/>
                <w:color w:val="000000"/>
                <w:sz w:val="19"/>
              </w:rPr>
              <w:t>F1-Skoru</w:t>
            </w:r>
          </w:p>
        </w:tc>
        <w:tc>
          <w:tcPr>
            <w:tcW w:type="dxa" w:w="1337"/>
          </w:tcPr>
          <w:p>
            <w:r>
              <w:rPr>
                <w:rFonts w:ascii="Times New Roman" w:hAnsi="Times New Roman"/>
                <w:b/>
                <w:i w:val="0"/>
                <w:color w:val="000000"/>
                <w:sz w:val="19"/>
              </w:rPr>
              <w:t>Kesinlik</w:t>
            </w:r>
          </w:p>
        </w:tc>
        <w:tc>
          <w:tcPr>
            <w:tcW w:type="dxa" w:w="1337"/>
          </w:tcPr>
          <w:p>
            <w:r>
              <w:rPr>
                <w:rFonts w:ascii="Times New Roman" w:hAnsi="Times New Roman"/>
                <w:b/>
                <w:i w:val="0"/>
                <w:color w:val="000000"/>
                <w:sz w:val="19"/>
              </w:rPr>
              <w:t>Duyarlılık</w:t>
            </w:r>
          </w:p>
        </w:tc>
        <w:tc>
          <w:tcPr>
            <w:tcW w:type="dxa" w:w="1337"/>
          </w:tcPr>
          <w:p>
            <w:r>
              <w:rPr>
                <w:rFonts w:ascii="Times New Roman" w:hAnsi="Times New Roman"/>
                <w:b/>
                <w:i w:val="0"/>
                <w:color w:val="000000"/>
                <w:sz w:val="19"/>
              </w:rPr>
              <w:t>FPR</w:t>
            </w:r>
          </w:p>
        </w:tc>
      </w:tr>
      <w:tr>
        <w:tc>
          <w:tcPr>
            <w:tcW w:type="dxa" w:w="1337"/>
          </w:tcPr>
          <w:p>
            <w:r>
              <w:rPr>
                <w:rFonts w:ascii="Times New Roman" w:hAnsi="Times New Roman"/>
                <w:b w:val="0"/>
                <w:i w:val="0"/>
                <w:color w:val="000000"/>
                <w:sz w:val="18"/>
              </w:rPr>
              <w:t>XLM-RoBERTa (Hold-out Test)</w:t>
            </w:r>
          </w:p>
        </w:tc>
        <w:tc>
          <w:tcPr>
            <w:tcW w:type="dxa" w:w="1337"/>
          </w:tcPr>
          <w:p>
            <w:r>
              <w:rPr>
                <w:rFonts w:ascii="Times New Roman" w:hAnsi="Times New Roman"/>
                <w:b w:val="0"/>
                <w:i w:val="0"/>
                <w:color w:val="000000"/>
                <w:sz w:val="18"/>
              </w:rPr>
              <w:t>4.279</w:t>
            </w:r>
          </w:p>
        </w:tc>
        <w:tc>
          <w:tcPr>
            <w:tcW w:type="dxa" w:w="1337"/>
          </w:tcPr>
          <w:p>
            <w:r>
              <w:rPr>
                <w:rFonts w:ascii="Times New Roman" w:hAnsi="Times New Roman"/>
                <w:b/>
                <w:i w:val="0"/>
                <w:color w:val="000000"/>
                <w:sz w:val="18"/>
              </w:rPr>
              <w:t>%98.74</w:t>
            </w:r>
          </w:p>
        </w:tc>
        <w:tc>
          <w:tcPr>
            <w:tcW w:type="dxa" w:w="1337"/>
          </w:tcPr>
          <w:p>
            <w:r>
              <w:rPr>
                <w:rFonts w:ascii="Times New Roman" w:hAnsi="Times New Roman"/>
                <w:b/>
                <w:i w:val="0"/>
                <w:color w:val="000000"/>
                <w:sz w:val="18"/>
              </w:rPr>
              <w:t>0.9874</w:t>
            </w:r>
          </w:p>
        </w:tc>
        <w:tc>
          <w:tcPr>
            <w:tcW w:type="dxa" w:w="1337"/>
          </w:tcPr>
          <w:p>
            <w:r>
              <w:rPr>
                <w:rFonts w:ascii="Times New Roman" w:hAnsi="Times New Roman"/>
                <w:b w:val="0"/>
                <w:i w:val="0"/>
                <w:color w:val="000000"/>
                <w:sz w:val="18"/>
              </w:rPr>
              <w:t>%99.07</w:t>
            </w:r>
          </w:p>
        </w:tc>
        <w:tc>
          <w:tcPr>
            <w:tcW w:type="dxa" w:w="1337"/>
          </w:tcPr>
          <w:p>
            <w:r>
              <w:rPr>
                <w:rFonts w:ascii="Times New Roman" w:hAnsi="Times New Roman"/>
                <w:b w:val="0"/>
                <w:i w:val="0"/>
                <w:color w:val="000000"/>
                <w:sz w:val="18"/>
              </w:rPr>
              <w:t>%98.41</w:t>
            </w:r>
          </w:p>
        </w:tc>
        <w:tc>
          <w:tcPr>
            <w:tcW w:type="dxa" w:w="1337"/>
          </w:tcPr>
          <w:p>
            <w:r>
              <w:rPr>
                <w:rFonts w:ascii="Times New Roman" w:hAnsi="Times New Roman"/>
                <w:b/>
                <w:i w:val="0"/>
                <w:color w:val="000000"/>
                <w:sz w:val="18"/>
              </w:rPr>
              <w:t>%0.93</w:t>
            </w:r>
          </w:p>
        </w:tc>
      </w:tr>
      <w:tr>
        <w:tc>
          <w:tcPr>
            <w:tcW w:type="dxa" w:w="1337"/>
          </w:tcPr>
          <w:p>
            <w:r>
              <w:rPr>
                <w:rFonts w:ascii="Times New Roman" w:hAnsi="Times New Roman"/>
                <w:b w:val="0"/>
                <w:i w:val="0"/>
                <w:color w:val="000000"/>
                <w:sz w:val="18"/>
              </w:rPr>
              <w:t>XLM-RoBERTa (OOD Neuralchemy)</w:t>
            </w:r>
          </w:p>
        </w:tc>
        <w:tc>
          <w:tcPr>
            <w:tcW w:type="dxa" w:w="1337"/>
          </w:tcPr>
          <w:p>
            <w:r>
              <w:rPr>
                <w:rFonts w:ascii="Times New Roman" w:hAnsi="Times New Roman"/>
                <w:b w:val="0"/>
                <w:i w:val="0"/>
                <w:color w:val="000000"/>
                <w:sz w:val="18"/>
              </w:rPr>
              <w:t>1.000</w:t>
            </w:r>
          </w:p>
        </w:tc>
        <w:tc>
          <w:tcPr>
            <w:tcW w:type="dxa" w:w="1337"/>
          </w:tcPr>
          <w:p>
            <w:r>
              <w:rPr>
                <w:rFonts w:ascii="Times New Roman" w:hAnsi="Times New Roman"/>
                <w:b/>
                <w:i w:val="0"/>
                <w:color w:val="000000"/>
                <w:sz w:val="18"/>
              </w:rPr>
              <w:t>%81.90</w:t>
            </w:r>
          </w:p>
        </w:tc>
        <w:tc>
          <w:tcPr>
            <w:tcW w:type="dxa" w:w="1337"/>
          </w:tcPr>
          <w:p>
            <w:r>
              <w:rPr>
                <w:rFonts w:ascii="Times New Roman" w:hAnsi="Times New Roman"/>
                <w:b/>
                <w:i w:val="0"/>
                <w:color w:val="000000"/>
                <w:sz w:val="18"/>
              </w:rPr>
              <w:t>0.8215</w:t>
            </w:r>
          </w:p>
        </w:tc>
        <w:tc>
          <w:tcPr>
            <w:tcW w:type="dxa" w:w="1337"/>
          </w:tcPr>
          <w:p>
            <w:r>
              <w:rPr>
                <w:rFonts w:ascii="Times New Roman" w:hAnsi="Times New Roman"/>
                <w:b w:val="0"/>
                <w:i w:val="0"/>
                <w:color w:val="000000"/>
                <w:sz w:val="18"/>
              </w:rPr>
              <w:t>%80.60</w:t>
            </w:r>
          </w:p>
        </w:tc>
        <w:tc>
          <w:tcPr>
            <w:tcW w:type="dxa" w:w="1337"/>
          </w:tcPr>
          <w:p>
            <w:r>
              <w:rPr>
                <w:rFonts w:ascii="Times New Roman" w:hAnsi="Times New Roman"/>
                <w:b w:val="0"/>
                <w:i w:val="0"/>
                <w:color w:val="000000"/>
                <w:sz w:val="18"/>
              </w:rPr>
              <w:t>%83.75</w:t>
            </w:r>
          </w:p>
        </w:tc>
        <w:tc>
          <w:tcPr>
            <w:tcW w:type="dxa" w:w="1337"/>
          </w:tcPr>
          <w:p>
            <w:r>
              <w:rPr>
                <w:rFonts w:ascii="Times New Roman" w:hAnsi="Times New Roman"/>
                <w:b/>
                <w:i w:val="0"/>
                <w:color w:val="000000"/>
                <w:sz w:val="18"/>
              </w:rPr>
              <w:t>%19.96</w:t>
            </w:r>
          </w:p>
        </w:tc>
      </w:tr>
      <w:tr>
        <w:tc>
          <w:tcPr>
            <w:tcW w:type="dxa" w:w="1337"/>
          </w:tcPr>
          <w:p>
            <w:r>
              <w:rPr>
                <w:rFonts w:ascii="Times New Roman" w:hAnsi="Times New Roman"/>
                <w:b w:val="0"/>
                <w:i w:val="0"/>
                <w:color w:val="000000"/>
                <w:sz w:val="18"/>
              </w:rPr>
              <w:t>XLM-RoBERTa (Canlı Türkçe)</w:t>
            </w:r>
          </w:p>
        </w:tc>
        <w:tc>
          <w:tcPr>
            <w:tcW w:type="dxa" w:w="1337"/>
          </w:tcPr>
          <w:p>
            <w:r>
              <w:rPr>
                <w:rFonts w:ascii="Times New Roman" w:hAnsi="Times New Roman"/>
                <w:b w:val="0"/>
                <w:i w:val="0"/>
                <w:color w:val="000000"/>
                <w:sz w:val="18"/>
              </w:rPr>
              <w:t>100</w:t>
            </w:r>
          </w:p>
        </w:tc>
        <w:tc>
          <w:tcPr>
            <w:tcW w:type="dxa" w:w="1337"/>
          </w:tcPr>
          <w:p>
            <w:r>
              <w:rPr>
                <w:rFonts w:ascii="Times New Roman" w:hAnsi="Times New Roman"/>
                <w:b/>
                <w:i w:val="0"/>
                <w:color w:val="000000"/>
                <w:sz w:val="18"/>
              </w:rPr>
              <w:t>%90.00</w:t>
            </w:r>
          </w:p>
        </w:tc>
        <w:tc>
          <w:tcPr>
            <w:tcW w:type="dxa" w:w="1337"/>
          </w:tcPr>
          <w:p>
            <w:r>
              <w:rPr>
                <w:rFonts w:ascii="Times New Roman" w:hAnsi="Times New Roman"/>
                <w:b/>
                <w:i w:val="0"/>
                <w:color w:val="000000"/>
                <w:sz w:val="18"/>
              </w:rPr>
              <w:t>0.9091</w:t>
            </w:r>
          </w:p>
        </w:tc>
        <w:tc>
          <w:tcPr>
            <w:tcW w:type="dxa" w:w="1337"/>
          </w:tcPr>
          <w:p>
            <w:r>
              <w:rPr>
                <w:rFonts w:ascii="Times New Roman" w:hAnsi="Times New Roman"/>
                <w:b w:val="0"/>
                <w:i w:val="0"/>
                <w:color w:val="000000"/>
                <w:sz w:val="18"/>
              </w:rPr>
              <w:t>%83.33</w:t>
            </w:r>
          </w:p>
        </w:tc>
        <w:tc>
          <w:tcPr>
            <w:tcW w:type="dxa" w:w="1337"/>
          </w:tcPr>
          <w:p>
            <w:r>
              <w:rPr>
                <w:rFonts w:ascii="Times New Roman" w:hAnsi="Times New Roman"/>
                <w:b w:val="0"/>
                <w:i w:val="0"/>
                <w:color w:val="000000"/>
                <w:sz w:val="18"/>
              </w:rPr>
              <w:t>%100.00</w:t>
            </w:r>
          </w:p>
        </w:tc>
        <w:tc>
          <w:tcPr>
            <w:tcW w:type="dxa" w:w="1337"/>
          </w:tcPr>
          <w:p>
            <w:r>
              <w:rPr>
                <w:rFonts w:ascii="Times New Roman" w:hAnsi="Times New Roman"/>
                <w:b/>
                <w:i w:val="0"/>
                <w:color w:val="000000"/>
                <w:sz w:val="18"/>
              </w:rPr>
              <w:t>%20.00</w:t>
            </w:r>
          </w:p>
        </w:tc>
      </w:tr>
      <w:tr>
        <w:tc>
          <w:tcPr>
            <w:tcW w:type="dxa" w:w="1337"/>
          </w:tcPr>
          <w:p>
            <w:r>
              <w:rPr>
                <w:rFonts w:ascii="Times New Roman" w:hAnsi="Times New Roman"/>
                <w:b w:val="0"/>
                <w:i w:val="0"/>
                <w:color w:val="000000"/>
                <w:sz w:val="18"/>
              </w:rPr>
              <w:t>Eski DeBERTa-v3 + Çeviri</w:t>
            </w:r>
          </w:p>
        </w:tc>
        <w:tc>
          <w:tcPr>
            <w:tcW w:type="dxa" w:w="1337"/>
          </w:tcPr>
          <w:p>
            <w:r>
              <w:rPr>
                <w:rFonts w:ascii="Times New Roman" w:hAnsi="Times New Roman"/>
                <w:b w:val="0"/>
                <w:i w:val="0"/>
                <w:color w:val="000000"/>
                <w:sz w:val="18"/>
              </w:rPr>
              <w:t>80</w:t>
            </w:r>
          </w:p>
        </w:tc>
        <w:tc>
          <w:tcPr>
            <w:tcW w:type="dxa" w:w="1337"/>
          </w:tcPr>
          <w:p>
            <w:r>
              <w:rPr>
                <w:rFonts w:ascii="Times New Roman" w:hAnsi="Times New Roman"/>
                <w:b w:val="0"/>
                <w:i w:val="0"/>
                <w:color w:val="000000"/>
                <w:sz w:val="18"/>
              </w:rPr>
              <w:t>%86.25</w:t>
            </w:r>
          </w:p>
        </w:tc>
        <w:tc>
          <w:tcPr>
            <w:tcW w:type="dxa" w:w="1337"/>
          </w:tcPr>
          <w:p>
            <w:r>
              <w:rPr>
                <w:rFonts w:ascii="Times New Roman" w:hAnsi="Times New Roman"/>
                <w:b w:val="0"/>
                <w:i w:val="0"/>
                <w:color w:val="000000"/>
                <w:sz w:val="18"/>
              </w:rPr>
              <w:t>0.8791</w:t>
            </w:r>
          </w:p>
        </w:tc>
        <w:tc>
          <w:tcPr>
            <w:tcW w:type="dxa" w:w="1337"/>
          </w:tcPr>
          <w:p>
            <w:r>
              <w:rPr>
                <w:rFonts w:ascii="Times New Roman" w:hAnsi="Times New Roman"/>
                <w:b w:val="0"/>
                <w:i w:val="0"/>
                <w:color w:val="000000"/>
                <w:sz w:val="18"/>
              </w:rPr>
              <w:t>%78.43</w:t>
            </w:r>
          </w:p>
        </w:tc>
        <w:tc>
          <w:tcPr>
            <w:tcW w:type="dxa" w:w="1337"/>
          </w:tcPr>
          <w:p>
            <w:r>
              <w:rPr>
                <w:rFonts w:ascii="Times New Roman" w:hAnsi="Times New Roman"/>
                <w:b w:val="0"/>
                <w:i w:val="0"/>
                <w:color w:val="000000"/>
                <w:sz w:val="18"/>
              </w:rPr>
              <w:t>%100.00</w:t>
            </w:r>
          </w:p>
        </w:tc>
        <w:tc>
          <w:tcPr>
            <w:tcW w:type="dxa" w:w="1337"/>
          </w:tcPr>
          <w:p>
            <w:r>
              <w:rPr>
                <w:rFonts w:ascii="Times New Roman" w:hAnsi="Times New Roman"/>
                <w:b w:val="0"/>
                <w:i w:val="0"/>
                <w:color w:val="000000"/>
                <w:sz w:val="18"/>
              </w:rPr>
              <w:t>%27.50</w:t>
            </w:r>
          </w:p>
        </w:tc>
      </w:tr>
      <w:tr>
        <w:tc>
          <w:tcPr>
            <w:tcW w:type="dxa" w:w="1337"/>
          </w:tcPr>
          <w:p>
            <w:r>
              <w:rPr>
                <w:rFonts w:ascii="Times New Roman" w:hAnsi="Times New Roman"/>
                <w:b w:val="0"/>
                <w:i w:val="0"/>
                <w:color w:val="000000"/>
                <w:sz w:val="18"/>
              </w:rPr>
              <w:t>Katman 1 (Tek Başına Regex)</w:t>
            </w:r>
          </w:p>
        </w:tc>
        <w:tc>
          <w:tcPr>
            <w:tcW w:type="dxa" w:w="1337"/>
          </w:tcPr>
          <w:p>
            <w:r>
              <w:rPr>
                <w:rFonts w:ascii="Times New Roman" w:hAnsi="Times New Roman"/>
                <w:b w:val="0"/>
                <w:i w:val="0"/>
                <w:color w:val="000000"/>
                <w:sz w:val="18"/>
              </w:rPr>
              <w:t>80</w:t>
            </w:r>
          </w:p>
        </w:tc>
        <w:tc>
          <w:tcPr>
            <w:tcW w:type="dxa" w:w="1337"/>
          </w:tcPr>
          <w:p>
            <w:r>
              <w:rPr>
                <w:rFonts w:ascii="Times New Roman" w:hAnsi="Times New Roman"/>
                <w:b w:val="0"/>
                <w:i w:val="0"/>
                <w:color w:val="000000"/>
                <w:sz w:val="18"/>
              </w:rPr>
              <w:t>%68.75</w:t>
            </w:r>
          </w:p>
        </w:tc>
        <w:tc>
          <w:tcPr>
            <w:tcW w:type="dxa" w:w="1337"/>
          </w:tcPr>
          <w:p>
            <w:r>
              <w:rPr>
                <w:rFonts w:ascii="Times New Roman" w:hAnsi="Times New Roman"/>
                <w:b w:val="0"/>
                <w:i w:val="0"/>
                <w:color w:val="000000"/>
                <w:sz w:val="18"/>
              </w:rPr>
              <w:t>0.5455</w:t>
            </w:r>
          </w:p>
        </w:tc>
        <w:tc>
          <w:tcPr>
            <w:tcW w:type="dxa" w:w="1337"/>
          </w:tcPr>
          <w:p>
            <w:r>
              <w:rPr>
                <w:rFonts w:ascii="Times New Roman" w:hAnsi="Times New Roman"/>
                <w:b w:val="0"/>
                <w:i w:val="0"/>
                <w:color w:val="000000"/>
                <w:sz w:val="18"/>
              </w:rPr>
              <w:t>%100.00</w:t>
            </w:r>
          </w:p>
        </w:tc>
        <w:tc>
          <w:tcPr>
            <w:tcW w:type="dxa" w:w="1337"/>
          </w:tcPr>
          <w:p>
            <w:r>
              <w:rPr>
                <w:rFonts w:ascii="Times New Roman" w:hAnsi="Times New Roman"/>
                <w:b w:val="0"/>
                <w:i w:val="0"/>
                <w:color w:val="000000"/>
                <w:sz w:val="18"/>
              </w:rPr>
              <w:t>%37.50</w:t>
            </w:r>
          </w:p>
        </w:tc>
        <w:tc>
          <w:tcPr>
            <w:tcW w:type="dxa" w:w="1337"/>
          </w:tcPr>
          <w:p>
            <w:r>
              <w:rPr>
                <w:rFonts w:ascii="Times New Roman" w:hAnsi="Times New Roman"/>
                <w:b w:val="0"/>
                <w:i w:val="0"/>
                <w:color w:val="000000"/>
                <w:sz w:val="18"/>
              </w:rPr>
              <w:t>%0.00</w:t>
            </w:r>
          </w:p>
        </w:tc>
      </w:tr>
    </w:tbl>
    <w:p>
      <w:pPr>
        <w:spacing w:before="80" w:after="160"/>
        <w:jc w:val="center"/>
      </w:pPr>
      <w:r>
        <w:rPr>
          <w:rFonts w:ascii="Times New Roman" w:hAnsi="Times New Roman"/>
          <w:b w:val="0"/>
          <w:i/>
          <w:color w:val="000000"/>
          <w:sz w:val="19"/>
        </w:rPr>
        <w:t>Tablo 1: Güvenlik Modelleri ve Test Kümeleri Başarım Metrikleri.</w:t>
      </w:r>
    </w:p>
    <w:p>
      <w:pPr>
        <w:keepNext/>
        <w:spacing w:before="280" w:after="120"/>
      </w:pPr>
      <w:r>
        <w:rPr>
          <w:rFonts w:ascii="Times New Roman" w:hAnsi="Times New Roman"/>
          <w:b/>
          <w:i w:val="0"/>
          <w:color w:val="142D5A"/>
          <w:sz w:val="28"/>
        </w:rPr>
        <w:t>4. Tartışma ve Sonuç</w:t>
      </w:r>
    </w:p>
    <w:p>
      <w:pPr>
        <w:spacing w:after="120" w:line="276" w:lineRule="auto"/>
      </w:pPr>
      <w:r>
        <w:rPr>
          <w:rFonts w:ascii="Times New Roman" w:hAnsi="Times New Roman"/>
          <w:b w:val="0"/>
          <w:i w:val="0"/>
          <w:color w:val="000000"/>
          <w:sz w:val="22"/>
        </w:rPr>
        <w:t>Deneysel bulgular; LLM güvenliğinin model içsel kurallarıyla veya sahte prompt manipülasyonlarıyla değil, bağımsız ve yerel bir güvenlik ağ geçidi (peripheral gateway) mimarisiyle sağlanmasının hem hız hem de güvenlik açısından üstün olduğunu kanıtlamıştır.</w:t>
      </w:r>
    </w:p>
    <w:p>
      <w:pPr>
        <w:spacing w:after="120" w:line="276" w:lineRule="auto"/>
      </w:pPr>
      <w:r>
        <w:rPr>
          <w:rFonts w:ascii="Times New Roman" w:hAnsi="Times New Roman"/>
          <w:b w:val="0"/>
          <w:i w:val="0"/>
          <w:color w:val="000000"/>
          <w:sz w:val="22"/>
        </w:rPr>
        <w:t>XLM-RoBERTa mimarisinin sağladığı doğrudan çok dillilik, harici çeviri modellerinin yarattığı semantik bilgi kaybını ve yüksek gecikmeyi ortadan kaldırmıştır. ONNX INT8 kuantizasyonu sayesinde model, standart kurumsal sunucu CPU'larında 9.47 ms gecikmeyle üretim ortamında hizmet verebilmektedir. Korunan kurumsal model olarak entegre edilen Google Gemini 3.6 Flash (gemini-3.6-flash), filtrelenen güvenli isteklere yaklaşık 350-500 ms aralığında milisaniyelik gecikmeyle yanıt vermektedir.</w:t>
      </w:r>
    </w:p>
    <w:p>
      <w:pPr>
        <w:keepNext/>
        <w:spacing w:before="280" w:after="120"/>
      </w:pPr>
      <w:r>
        <w:rPr>
          <w:rFonts w:ascii="Times New Roman" w:hAnsi="Times New Roman"/>
          <w:b/>
          <w:i w:val="0"/>
          <w:color w:val="142D5A"/>
          <w:sz w:val="28"/>
        </w:rPr>
        <w:t>Kaynaklar</w:t>
      </w:r>
    </w:p>
    <w:p>
      <w:pPr>
        <w:spacing w:after="60"/>
        <w:ind w:left="360" w:hanging="360"/>
      </w:pPr>
      <w:r>
        <w:rPr>
          <w:rFonts w:ascii="Times New Roman" w:hAnsi="Times New Roman"/>
          <w:b w:val="0"/>
          <w:i w:val="0"/>
          <w:color w:val="000000"/>
          <w:sz w:val="19"/>
        </w:rPr>
        <w:t>[1] K. Greshake et al., 'Not what you've signed up for: Compromising real-world LLM-integrated applications with indirect prompt injections,' in Proc. 16th ACM Workshop on Artificial Intelligence and Security (AISEC), 2023, pp. 79–90.</w:t>
      </w:r>
    </w:p>
    <w:p>
      <w:pPr>
        <w:spacing w:after="60"/>
        <w:ind w:left="360" w:hanging="360"/>
      </w:pPr>
      <w:r>
        <w:rPr>
          <w:rFonts w:ascii="Times New Roman" w:hAnsi="Times New Roman"/>
          <w:b w:val="0"/>
          <w:i w:val="0"/>
          <w:color w:val="000000"/>
          <w:sz w:val="19"/>
        </w:rPr>
        <w:t>[2] A. Conneau et al., 'Unsupervised cross-lingual representation learning at scale,' in Proc. 58th Annual Meeting of the Association for Computational Linguistics (ACL), 2020, pp. 8440–8451.</w:t>
      </w:r>
    </w:p>
    <w:p>
      <w:pPr>
        <w:spacing w:after="60"/>
        <w:ind w:left="360" w:hanging="360"/>
      </w:pPr>
      <w:r>
        <w:rPr>
          <w:rFonts w:ascii="Times New Roman" w:hAnsi="Times New Roman"/>
          <w:b w:val="0"/>
          <w:i w:val="0"/>
          <w:color w:val="000000"/>
          <w:sz w:val="19"/>
        </w:rPr>
        <w:t>[3] F. Perez and I. Ribeiro, 'Ignore previous prompt: Attack techniques for language models,' in NeurIPS ML Safety Workshop, 2022.</w:t>
      </w:r>
    </w:p>
    <w:p>
      <w:pPr>
        <w:spacing w:after="60"/>
        <w:ind w:left="360" w:hanging="360"/>
      </w:pPr>
      <w:r>
        <w:rPr>
          <w:rFonts w:ascii="Times New Roman" w:hAnsi="Times New Roman"/>
          <w:b w:val="0"/>
          <w:i w:val="0"/>
          <w:color w:val="000000"/>
          <w:sz w:val="19"/>
        </w:rPr>
        <w:t>[4] OWASP Foundation, 'OWASP Top 10 for Large Language Model Applications v1.1,' Tech. Rep., 2023.</w:t>
      </w:r>
    </w:p>
    <w:p>
      <w:pPr>
        <w:spacing w:after="60"/>
        <w:ind w:left="360" w:hanging="360"/>
      </w:pPr>
      <w:r>
        <w:rPr>
          <w:rFonts w:ascii="Times New Roman" w:hAnsi="Times New Roman"/>
          <w:b w:val="0"/>
          <w:i w:val="0"/>
          <w:color w:val="000000"/>
          <w:sz w:val="19"/>
        </w:rPr>
        <w:t>[5] S. Inan et al., 'Llama Guard: LLM-based input-output safeguard for human-AI conversations,' arXiv preprint arXiv:2312.06674, 2023.</w:t>
      </w:r>
    </w:p>
    <w:p>
      <w:pPr>
        <w:spacing w:after="60"/>
        <w:ind w:left="360" w:hanging="360"/>
      </w:pPr>
      <w:r>
        <w:rPr>
          <w:rFonts w:ascii="Times New Roman" w:hAnsi="Times New Roman"/>
          <w:b w:val="0"/>
          <w:i w:val="0"/>
          <w:color w:val="000000"/>
          <w:sz w:val="19"/>
        </w:rPr>
        <w:t>[6] Google DeepMind, 'Gemini 3.6 Flash Model Documentation and Interactions API Reference,' Google AI Cloud Docs, 2024.</w:t>
      </w:r>
    </w:p>
    <w:p>
      <w:pPr>
        <w:spacing w:after="60"/>
        <w:ind w:left="360" w:hanging="360"/>
      </w:pPr>
      <w:r>
        <w:rPr>
          <w:rFonts w:ascii="Times New Roman" w:hAnsi="Times New Roman"/>
          <w:b w:val="0"/>
          <w:i w:val="0"/>
          <w:color w:val="000000"/>
          <w:sz w:val="19"/>
        </w:rPr>
        <w:t>[7] M. Çalışkan and A. H. Işık, 'CyberTech Neural Shield: 3-Layer Peripheral Defense Architecture for LLMs,' Burdur Mehmet Akif Ersoy University Research Repository,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