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810594">
      <w:pPr>
        <w:pStyle w:val="36"/>
      </w:pPr>
      <w:r>
        <w:t>Nörogelişimsel Farkındalık ve İnteraktif Simülasyon Platformu</w:t>
      </w:r>
    </w:p>
    <w:p w14:paraId="63BD0622">
      <w:pPr>
        <w:pStyle w:val="34"/>
      </w:pPr>
      <w:r>
        <w:t>Haftalık Çalışma Raporu</w:t>
      </w:r>
    </w:p>
    <w:p w14:paraId="36653170">
      <w:r>
        <w:t>26 Ekim 2026 | Proje ekibi | Çalışma dönemi 19–26 Ekim 2026</w:t>
      </w:r>
    </w:p>
    <w:p w14:paraId="0F284472">
      <w:r>
        <w:t>Bu hafta ekipteki senaryo üretimi, RAG ve mobil uygulama çalışmalarını aynı akışta birleştirdik. Gemini API’sini kullanan backend’i uzak sunucuda çalıştırıp Android emülatöründen SSH tüneli üzerinden senaryo ürettik. D01 ve D02 için toplam 12 sentetik videoyu dallanmalı oynatmaya ekledik. Yeni video üretimi ve sese tepkiye yönelik ayrı video analizi çalışmaları da yürüttük. RAG’in içerik kalitesine etkisini ve sunucu yanıt sürelerini karşılaştırma, gerçek analizi mobile bağlama ve herkese açık HTTPS erişimi henüz tamamlanmadı.</w:t>
      </w:r>
    </w:p>
    <w:p w14:paraId="577ABA82">
      <w:pPr>
        <w:pStyle w:val="2"/>
      </w:pPr>
      <w:r>
        <w:t>Haftalık hedeflerde son durum</w:t>
      </w:r>
    </w:p>
    <w:tbl>
      <w:tblPr>
        <w:tblStyle w:val="12"/>
        <w:tblW w:w="0" w:type="auto"/>
        <w:jc w:val="center"/>
        <w:tblLayout w:type="autofit"/>
        <w:tblCellMar>
          <w:top w:w="0" w:type="dxa"/>
          <w:left w:w="108" w:type="dxa"/>
          <w:bottom w:w="0" w:type="dxa"/>
          <w:right w:w="108" w:type="dxa"/>
        </w:tblCellMar>
      </w:tblPr>
      <w:tblGrid>
        <w:gridCol w:w="4134"/>
        <w:gridCol w:w="5651"/>
      </w:tblGrid>
      <w:tr w14:paraId="3DF68FA9">
        <w:tblPrEx>
          <w:tblCellMar>
            <w:top w:w="0" w:type="dxa"/>
            <w:left w:w="108" w:type="dxa"/>
            <w:bottom w:w="0" w:type="dxa"/>
            <w:right w:w="108" w:type="dxa"/>
          </w:tblCellMar>
        </w:tblPrEx>
        <w:trPr>
          <w:tblHeader/>
          <w:jc w:val="center"/>
        </w:trPr>
        <w:tc>
          <w:tcPr>
            <w:tcW w:w="4802" w:type="dxa"/>
            <w:tcBorders>
              <w:top w:val="single" w:color="D9D9D9" w:sz="4" w:space="0"/>
              <w:left w:val="single" w:color="D9D9D9" w:sz="4" w:space="0"/>
              <w:bottom w:val="single" w:color="D9D9D9" w:sz="4" w:space="0"/>
              <w:right w:val="single" w:color="D9D9D9" w:sz="4" w:space="0"/>
            </w:tcBorders>
            <w:shd w:val="clear" w:color="auto" w:fill="E8EDF2"/>
            <w:tcMar>
              <w:top w:w="90" w:type="dxa"/>
              <w:left w:w="90" w:type="dxa"/>
              <w:bottom w:w="90" w:type="dxa"/>
              <w:right w:w="90" w:type="dxa"/>
            </w:tcMar>
            <w:vAlign w:val="center"/>
          </w:tcPr>
          <w:p w14:paraId="62FF1DB9">
            <w:pPr>
              <w:spacing w:after="40" w:line="240" w:lineRule="auto"/>
            </w:pPr>
            <w:r>
              <w:rPr>
                <w:b/>
                <w:sz w:val="20"/>
              </w:rPr>
              <w:t>Hedef</w:t>
            </w:r>
          </w:p>
        </w:tc>
        <w:tc>
          <w:tcPr>
            <w:tcW w:w="4802" w:type="dxa"/>
            <w:tcBorders>
              <w:top w:val="single" w:color="D9D9D9" w:sz="4" w:space="0"/>
              <w:left w:val="single" w:color="D9D9D9" w:sz="4" w:space="0"/>
              <w:bottom w:val="single" w:color="D9D9D9" w:sz="4" w:space="0"/>
              <w:right w:val="single" w:color="D9D9D9" w:sz="4" w:space="0"/>
            </w:tcBorders>
            <w:shd w:val="clear" w:color="auto" w:fill="E8EDF2"/>
            <w:tcMar>
              <w:top w:w="90" w:type="dxa"/>
              <w:left w:w="90" w:type="dxa"/>
              <w:bottom w:w="90" w:type="dxa"/>
              <w:right w:w="90" w:type="dxa"/>
            </w:tcMar>
            <w:vAlign w:val="center"/>
          </w:tcPr>
          <w:p w14:paraId="7B3BFD2F">
            <w:pPr>
              <w:spacing w:after="40" w:line="240" w:lineRule="auto"/>
            </w:pPr>
            <w:r>
              <w:rPr>
                <w:b/>
                <w:sz w:val="20"/>
              </w:rPr>
              <w:t>Durum</w:t>
            </w:r>
          </w:p>
        </w:tc>
      </w:tr>
      <w:tr w14:paraId="71BDD0EC">
        <w:tblPrEx>
          <w:tblCellMar>
            <w:top w:w="0" w:type="dxa"/>
            <w:left w:w="108" w:type="dxa"/>
            <w:bottom w:w="0" w:type="dxa"/>
            <w:right w:w="108" w:type="dxa"/>
          </w:tblCellMar>
        </w:tblPrEx>
        <w:trPr>
          <w:jc w:val="center"/>
        </w:trPr>
        <w:tc>
          <w:tcPr>
            <w:tcW w:w="2952" w:type="dxa"/>
            <w:tcBorders>
              <w:top w:val="single" w:color="D9D9D9" w:sz="4" w:space="0"/>
              <w:left w:val="single" w:color="D9D9D9" w:sz="4" w:space="0"/>
              <w:bottom w:val="single" w:color="D9D9D9" w:sz="4" w:space="0"/>
              <w:right w:val="single" w:color="D9D9D9" w:sz="4" w:space="0"/>
            </w:tcBorders>
            <w:tcMar>
              <w:top w:w="90" w:type="dxa"/>
              <w:left w:w="90" w:type="dxa"/>
              <w:bottom w:w="90" w:type="dxa"/>
              <w:right w:w="90" w:type="dxa"/>
            </w:tcMar>
            <w:vAlign w:val="center"/>
          </w:tcPr>
          <w:p w14:paraId="043A0A72">
            <w:pPr>
              <w:spacing w:after="40" w:line="240" w:lineRule="auto"/>
            </w:pPr>
            <w:r>
              <w:rPr>
                <w:b w:val="0"/>
                <w:sz w:val="20"/>
              </w:rPr>
              <w:t>Sunucu seçimi ve kurulum</w:t>
            </w:r>
          </w:p>
        </w:tc>
        <w:tc>
          <w:tcPr>
            <w:tcW w:w="6624" w:type="dxa"/>
            <w:tcBorders>
              <w:top w:val="single" w:color="D9D9D9" w:sz="4" w:space="0"/>
              <w:left w:val="single" w:color="D9D9D9" w:sz="4" w:space="0"/>
              <w:bottom w:val="single" w:color="D9D9D9" w:sz="4" w:space="0"/>
              <w:right w:val="single" w:color="D9D9D9" w:sz="4" w:space="0"/>
            </w:tcBorders>
            <w:tcMar>
              <w:top w:w="90" w:type="dxa"/>
              <w:left w:w="90" w:type="dxa"/>
              <w:bottom w:w="90" w:type="dxa"/>
              <w:right w:w="90" w:type="dxa"/>
            </w:tcMar>
            <w:vAlign w:val="center"/>
          </w:tcPr>
          <w:p w14:paraId="348A4F66">
            <w:pPr>
              <w:spacing w:after="40" w:line="240" w:lineRule="auto"/>
            </w:pPr>
            <w:r>
              <w:rPr>
                <w:b w:val="0"/>
                <w:sz w:val="20"/>
              </w:rPr>
              <w:t>Lunhost üzerinde backend kuruldu; emülatör bağlantısı SSH tüneliyle denendi.</w:t>
            </w:r>
          </w:p>
        </w:tc>
      </w:tr>
      <w:tr w14:paraId="0A2B4DC2">
        <w:tblPrEx>
          <w:tblCellMar>
            <w:top w:w="0" w:type="dxa"/>
            <w:left w:w="108" w:type="dxa"/>
            <w:bottom w:w="0" w:type="dxa"/>
            <w:right w:w="108" w:type="dxa"/>
          </w:tblCellMar>
        </w:tblPrEx>
        <w:trPr>
          <w:jc w:val="center"/>
        </w:trPr>
        <w:tc>
          <w:tcPr>
            <w:tcW w:w="2952" w:type="dxa"/>
            <w:tcBorders>
              <w:top w:val="single" w:color="D9D9D9" w:sz="4" w:space="0"/>
              <w:left w:val="single" w:color="D9D9D9" w:sz="4" w:space="0"/>
              <w:bottom w:val="single" w:color="D9D9D9" w:sz="4" w:space="0"/>
              <w:right w:val="single" w:color="D9D9D9" w:sz="4" w:space="0"/>
            </w:tcBorders>
            <w:tcMar>
              <w:top w:w="90" w:type="dxa"/>
              <w:left w:w="90" w:type="dxa"/>
              <w:bottom w:w="90" w:type="dxa"/>
              <w:right w:w="90" w:type="dxa"/>
            </w:tcMar>
            <w:vAlign w:val="center"/>
          </w:tcPr>
          <w:p w14:paraId="31721A52">
            <w:pPr>
              <w:spacing w:after="40" w:line="240" w:lineRule="auto"/>
            </w:pPr>
            <w:r>
              <w:rPr>
                <w:b w:val="0"/>
                <w:sz w:val="20"/>
              </w:rPr>
              <w:t>Sunucudan senaryo üretimi ve RAG</w:t>
            </w:r>
          </w:p>
        </w:tc>
        <w:tc>
          <w:tcPr>
            <w:tcW w:w="6624" w:type="dxa"/>
            <w:tcBorders>
              <w:top w:val="single" w:color="D9D9D9" w:sz="4" w:space="0"/>
              <w:left w:val="single" w:color="D9D9D9" w:sz="4" w:space="0"/>
              <w:bottom w:val="single" w:color="D9D9D9" w:sz="4" w:space="0"/>
              <w:right w:val="single" w:color="D9D9D9" w:sz="4" w:space="0"/>
            </w:tcBorders>
            <w:tcMar>
              <w:top w:w="90" w:type="dxa"/>
              <w:left w:w="90" w:type="dxa"/>
              <w:bottom w:w="90" w:type="dxa"/>
              <w:right w:w="90" w:type="dxa"/>
            </w:tcMar>
            <w:vAlign w:val="center"/>
          </w:tcPr>
          <w:p w14:paraId="08380E78">
            <w:r>
              <w:t>Gemini ve kart bağlamı seçimi çalışıyor; eski A/B/C ölçümleri eklendi, güncel karşılaştırma açık.</w:t>
            </w:r>
          </w:p>
        </w:tc>
      </w:tr>
      <w:tr w14:paraId="2F7AB551">
        <w:tblPrEx>
          <w:tblCellMar>
            <w:top w:w="0" w:type="dxa"/>
            <w:left w:w="108" w:type="dxa"/>
            <w:bottom w:w="0" w:type="dxa"/>
            <w:right w:w="108" w:type="dxa"/>
          </w:tblCellMar>
        </w:tblPrEx>
        <w:trPr>
          <w:jc w:val="center"/>
        </w:trPr>
        <w:tc>
          <w:tcPr>
            <w:tcW w:w="2952" w:type="dxa"/>
            <w:tcBorders>
              <w:top w:val="single" w:color="D9D9D9" w:sz="4" w:space="0"/>
              <w:left w:val="single" w:color="D9D9D9" w:sz="4" w:space="0"/>
              <w:bottom w:val="single" w:color="D9D9D9" w:sz="4" w:space="0"/>
              <w:right w:val="single" w:color="D9D9D9" w:sz="4" w:space="0"/>
            </w:tcBorders>
            <w:tcMar>
              <w:top w:w="90" w:type="dxa"/>
              <w:left w:w="90" w:type="dxa"/>
              <w:bottom w:w="90" w:type="dxa"/>
              <w:right w:w="90" w:type="dxa"/>
            </w:tcMar>
            <w:vAlign w:val="center"/>
          </w:tcPr>
          <w:p w14:paraId="58A41A41">
            <w:pPr>
              <w:spacing w:after="40" w:line="240" w:lineRule="auto"/>
            </w:pPr>
            <w:r>
              <w:rPr>
                <w:b w:val="0"/>
                <w:sz w:val="20"/>
              </w:rPr>
              <w:t>Yeni videolar ve dallı oynatma</w:t>
            </w:r>
          </w:p>
        </w:tc>
        <w:tc>
          <w:tcPr>
            <w:tcW w:w="6624" w:type="dxa"/>
            <w:tcBorders>
              <w:top w:val="single" w:color="D9D9D9" w:sz="4" w:space="0"/>
              <w:left w:val="single" w:color="D9D9D9" w:sz="4" w:space="0"/>
              <w:bottom w:val="single" w:color="D9D9D9" w:sz="4" w:space="0"/>
              <w:right w:val="single" w:color="D9D9D9" w:sz="4" w:space="0"/>
            </w:tcBorders>
            <w:tcMar>
              <w:top w:w="90" w:type="dxa"/>
              <w:left w:w="90" w:type="dxa"/>
              <w:bottom w:w="90" w:type="dxa"/>
              <w:right w:w="90" w:type="dxa"/>
            </w:tcMar>
            <w:vAlign w:val="center"/>
          </w:tcPr>
          <w:p w14:paraId="61800447">
            <w:pPr>
              <w:spacing w:after="40" w:line="240" w:lineRule="auto"/>
            </w:pPr>
            <w:r>
              <w:rPr>
                <w:b w:val="0"/>
                <w:sz w:val="20"/>
              </w:rPr>
              <w:t>D01 için 7, D02 için 5 video eklendi; seçilen yolu tekrar oynatma D01’de kontrol edildi.</w:t>
            </w:r>
          </w:p>
        </w:tc>
      </w:tr>
      <w:tr w14:paraId="0CA576E3">
        <w:tblPrEx>
          <w:tblCellMar>
            <w:top w:w="0" w:type="dxa"/>
            <w:left w:w="108" w:type="dxa"/>
            <w:bottom w:w="0" w:type="dxa"/>
            <w:right w:w="108" w:type="dxa"/>
          </w:tblCellMar>
        </w:tblPrEx>
        <w:trPr>
          <w:jc w:val="center"/>
        </w:trPr>
        <w:tc>
          <w:tcPr>
            <w:tcW w:w="2952" w:type="dxa"/>
            <w:tcBorders>
              <w:top w:val="single" w:color="D9D9D9" w:sz="4" w:space="0"/>
              <w:left w:val="single" w:color="D9D9D9" w:sz="4" w:space="0"/>
              <w:bottom w:val="single" w:color="D9D9D9" w:sz="4" w:space="0"/>
              <w:right w:val="single" w:color="D9D9D9" w:sz="4" w:space="0"/>
            </w:tcBorders>
            <w:tcMar>
              <w:top w:w="90" w:type="dxa"/>
              <w:left w:w="90" w:type="dxa"/>
              <w:bottom w:w="90" w:type="dxa"/>
              <w:right w:w="90" w:type="dxa"/>
            </w:tcMar>
            <w:vAlign w:val="center"/>
          </w:tcPr>
          <w:p w14:paraId="03DBAA7B">
            <w:pPr>
              <w:spacing w:after="40" w:line="240" w:lineRule="auto"/>
            </w:pPr>
            <w:r>
              <w:rPr>
                <w:b w:val="0"/>
                <w:sz w:val="20"/>
              </w:rPr>
              <w:t>Sese tepki analizi</w:t>
            </w:r>
          </w:p>
        </w:tc>
        <w:tc>
          <w:tcPr>
            <w:tcW w:w="6624" w:type="dxa"/>
            <w:tcBorders>
              <w:top w:val="single" w:color="D9D9D9" w:sz="4" w:space="0"/>
              <w:left w:val="single" w:color="D9D9D9" w:sz="4" w:space="0"/>
              <w:bottom w:val="single" w:color="D9D9D9" w:sz="4" w:space="0"/>
              <w:right w:val="single" w:color="D9D9D9" w:sz="4" w:space="0"/>
            </w:tcBorders>
            <w:tcMar>
              <w:top w:w="90" w:type="dxa"/>
              <w:left w:w="90" w:type="dxa"/>
              <w:bottom w:w="90" w:type="dxa"/>
              <w:right w:w="90" w:type="dxa"/>
            </w:tcMar>
            <w:vAlign w:val="center"/>
          </w:tcPr>
          <w:p w14:paraId="75996C8F">
            <w:pPr>
              <w:spacing w:after="40" w:line="240" w:lineRule="auto"/>
            </w:pPr>
            <w:r>
              <w:rPr>
                <w:b w:val="0"/>
                <w:sz w:val="20"/>
              </w:rPr>
              <w:t>Ekip içinde ayrı analiz çalışması yapıldı; mobil uygulamaya bağlantısı tamamlanmadı.</w:t>
            </w:r>
          </w:p>
        </w:tc>
      </w:tr>
      <w:tr w14:paraId="41EC5FE9">
        <w:tblPrEx>
          <w:tblCellMar>
            <w:top w:w="0" w:type="dxa"/>
            <w:left w:w="108" w:type="dxa"/>
            <w:bottom w:w="0" w:type="dxa"/>
            <w:right w:w="108" w:type="dxa"/>
          </w:tblCellMar>
        </w:tblPrEx>
        <w:trPr>
          <w:jc w:val="center"/>
        </w:trPr>
        <w:tc>
          <w:tcPr>
            <w:tcW w:w="2952" w:type="dxa"/>
            <w:tcBorders>
              <w:top w:val="single" w:color="D9D9D9" w:sz="4" w:space="0"/>
              <w:left w:val="single" w:color="D9D9D9" w:sz="4" w:space="0"/>
              <w:bottom w:val="single" w:color="D9D9D9" w:sz="4" w:space="0"/>
              <w:right w:val="single" w:color="D9D9D9" w:sz="4" w:space="0"/>
            </w:tcBorders>
            <w:tcMar>
              <w:top w:w="90" w:type="dxa"/>
              <w:left w:w="90" w:type="dxa"/>
              <w:bottom w:w="90" w:type="dxa"/>
              <w:right w:w="90" w:type="dxa"/>
            </w:tcMar>
            <w:vAlign w:val="center"/>
          </w:tcPr>
          <w:p w14:paraId="6D57939E">
            <w:pPr>
              <w:spacing w:after="40" w:line="240" w:lineRule="auto"/>
            </w:pPr>
            <w:r>
              <w:rPr>
                <w:b w:val="0"/>
                <w:sz w:val="20"/>
              </w:rPr>
              <w:t>Kurulum ve kaynakların belgelenmesi</w:t>
            </w:r>
          </w:p>
        </w:tc>
        <w:tc>
          <w:tcPr>
            <w:tcW w:w="6624" w:type="dxa"/>
            <w:tcBorders>
              <w:top w:val="single" w:color="D9D9D9" w:sz="4" w:space="0"/>
              <w:left w:val="single" w:color="D9D9D9" w:sz="4" w:space="0"/>
              <w:bottom w:val="single" w:color="D9D9D9" w:sz="4" w:space="0"/>
              <w:right w:val="single" w:color="D9D9D9" w:sz="4" w:space="0"/>
            </w:tcBorders>
            <w:tcMar>
              <w:top w:w="90" w:type="dxa"/>
              <w:left w:w="90" w:type="dxa"/>
              <w:bottom w:w="90" w:type="dxa"/>
              <w:right w:w="90" w:type="dxa"/>
            </w:tcMar>
            <w:vAlign w:val="center"/>
          </w:tcPr>
          <w:p w14:paraId="02AF2346">
            <w:pPr>
              <w:spacing w:after="40" w:line="240" w:lineRule="auto"/>
            </w:pPr>
            <w:r>
              <w:rPr>
                <w:b w:val="0"/>
                <w:sz w:val="20"/>
              </w:rPr>
              <w:t>Kurulum rehberi ve kartlardaki kaynak bağlantıları mevcut; ayrı literatür klasörü hedefi açık.</w:t>
            </w:r>
          </w:p>
        </w:tc>
      </w:tr>
    </w:tbl>
    <w:p w14:paraId="495FBA48">
      <w:pPr>
        <w:pStyle w:val="2"/>
        <w:spacing w:before="140"/>
      </w:pPr>
      <w:r>
        <w:t>Tamamladığımız işler</w:t>
      </w:r>
    </w:p>
    <w:p w14:paraId="3F0A5CF6">
      <w:pPr>
        <w:pStyle w:val="3"/>
      </w:pPr>
      <w:r>
        <w:t>Sunucu kurulumu ve çalışma biçimi</w:t>
      </w:r>
    </w:p>
    <w:p w14:paraId="2D69DB2B">
      <w:r>
        <w:t>Sunucu seçeneklerini ve modeli sunucuda çalıştırma ile API üzerinden kullanma yollarını değerlendirdik. Araştırmada HostingDünyam da yer aldı; kurulumu Lunhost VDS Large üzerinde başlattık. Kullandığımız ortam 8 GB RAM ve 60 GB depolama sunuyor. Ubuntu 24.04 üzerinde Docker ve Compose kurduk, backend imajını oluşturduk ve sağlık kontrolünü doğruladık. Bu kapasiteyi yük testiyle yeterli bulduğumuz sonucuna henüz ulaşmadık.</w:t>
      </w:r>
    </w:p>
    <w:p w14:paraId="1FE1C1CB">
      <w:r>
        <w:t>Mevcut kurulumda büyük dil modelini VDS üzerinde çalıştırmıyoruz. Sunucu, mobil uygulamadan gelen isteği işleyip Gemini API’sine iletiyor. Bu nedenle yerel model ağırlıklarının RAM ihtiyacı yerine backend, günlükler ve ileride tutulabilecek videoların gereksinimleri öne çıkıyor. Aylık toplam işletim maliyetini API kullanımıyla birlikte ölçmeye devam etmemiz gerekiyor.</w:t>
      </w:r>
    </w:p>
    <w:p w14:paraId="7D9A5C58">
      <w:r>
        <w:br w:type="page"/>
      </w:r>
    </w:p>
    <w:p w14:paraId="0518829A">
      <w:pPr>
        <w:pStyle w:val="3"/>
      </w:pPr>
      <w:r>
        <w:t>Sunucu erişimi ve kurulum belgeleri</w:t>
      </w:r>
    </w:p>
    <w:p w14:paraId="671E46F5">
      <w:r>
        <w:t>Backend’i sunucunun yerel adresinde çalıştırdık. Windows üzerinden açtığımız SSH tüneliyle Android emülatöründen gerçek senaryo üretimini denedik. Ekip anahtarı, istek boyutu sınırı, aynı anda tek üretim işi ve zaman aşımı kontrolleri ekledik. Kurulum ve işletim adımlarını başka bir sunucuda tekrar kullanılabilmesi için SUNUCU_KURULUM.md dosyasında belgeledik. Caddy yapılandırması hazır olsa da alan adı ve herkese açık HTTPS erişimi henüz devrede değil.</w:t>
      </w:r>
    </w:p>
    <w:p w14:paraId="7CDDFC8D">
      <w:pPr>
        <w:pStyle w:val="3"/>
      </w:pPr>
      <w:r>
        <w:t>Davranış kartlarıyla RAG ve karşılaştırma düzeni</w:t>
      </w:r>
    </w:p>
    <w:p w14:paraId="47320106">
      <w:r>
        <w:t>Güncel senaryo üretiminde Davranış Kartları v02 belgesini ortak kaynak hâline getirdik. Seçilen D01–D10 davranışlarının kartlarını kimlik ve sürüm bilgileriyle alıp üretim bağlamına ekliyoruz. Kaynağın değişimini izlemek için dosya özeti de tutuluyor. Buradaki getirme işlemi kart kimliğine göre yapılıyor; embedding veya vektör veritabanı kullanmıyoruz.</w:t>
      </w:r>
    </w:p>
    <w:p w14:paraId="48A3129B">
      <w:r>
        <w:t>Kaynak bağlamının etkisini incelemek için A/B/C karşılaştırmasını mobil üretim formuna bağladık. Güncel normal üretim de seçilen davranış kartlarının tam metnini kullanıyor; dolayısıyla kart metnini almayan A kolu normal üretim düğmesiyle aynı değil. B kolu seçilen kartları, C kolu bütün kart belgesini alıyor. Güncel akış için aynı girdilerle tamamlanmış bir kalite ve süre değerlendirmemiz henüz yok. 23 Ekim’deki eski prototipe ait üç ölçümü süre ve token tablosuyla raporun sonundaki karşılaştırma bölümünde ayrıca gösterdik.</w:t>
      </w:r>
    </w:p>
    <w:p w14:paraId="71968B86">
      <w:pPr>
        <w:pStyle w:val="3"/>
      </w:pPr>
      <w:r>
        <w:t>Senaryo üretimi ve graf akışının birleştirilmesi</w:t>
      </w:r>
    </w:p>
    <w:p w14:paraId="270D2AD5">
      <w:r>
        <w:t>Önceki haftanın yerel model denemelerinden sonra bu hafta Gemini kullanan sunucu akışına geçtik. Davranış, yaş, ortam ve ek yönergeleri tek formdan alabiliyoruz. Normal üretim veya karşılaştırma sonucunda seçilen anlatı düzenleme alanına aktarılıyor; yapı doğrulamasından sonra graf ve klip planı adımlarına geçilebiliyor. Ham yanıt ile düzenlenmiş metni ayrı tutuyoruz. Geçersiz model cevabını hazır örnekle tamamlamıyoruz; doğrusal senaryoya modelin üretmediği dallar eklemiyoruz.</w:t>
      </w:r>
    </w:p>
    <w:p w14:paraId="74D9988D">
      <w:r>
        <w:t>Gerçek senaryodan graf ve klip planı üretimini denedik. İlk klip planında içerik ve zamanlama sorunları gördüğümüz için D01’de seslenme zamanını yapılandırılmış alanlarla doğrulayan bir kural ekledik. Bu son değişiklikten sonra gerçek modelle yeni bir plan üretimini henüz tekrar doğrulamadık. Sağlayıcı tarafında hizmet kullanılamaması ve kota sınırı hatalarıyla da karşılaştık.</w:t>
      </w:r>
    </w:p>
    <w:p w14:paraId="1A701D8A">
      <w:r>
        <w:t>DeepSeek’i deneme hedefimiz vardı; bu hafta gerçekleşmiş bir DeepSeek denemesine ait kayıt bulunmuyor. Önceki rapordaki Qwen ve MiniCPM süreleri emülatördeki eski denemelere ait. Yeni sunucu akışıyla aynı koşullarda ölçülmediği için bunlarla doğrudan hız karşılaştırması yapmıyoruz.</w:t>
      </w:r>
    </w:p>
    <w:p w14:paraId="1A1B6940">
      <w:pPr>
        <w:pStyle w:val="3"/>
      </w:pPr>
      <w:r>
        <w:t>Mobil çalışma alanı ve taslakların korunması</w:t>
      </w:r>
    </w:p>
    <w:p w14:paraId="6F1698D0">
      <w:r>
        <w:t>Ekip Stüdyosu üzerinden üretim, sonuç seçimi, düzenleme, doğrulama, graf ve klip planına ulaşılmasını sağladık. Formu, ham cevabı ve düzenlenmiş JSON’u cihazda taslak olarak saklıyoruz. Dolu editörün üzerine aktarım ve çıkış için korumalar ekledik. Taslağın geri yüklenmesi tamamlanmış grafın veya yarıda kalan üretimin devam ettiği anlamına gelmiyor. Sunucu adresi için yapılandırma desteği ekledik; son doğrudan adres değişikliğini henüz uçtan uca doğrulamadık.</w:t>
      </w:r>
    </w:p>
    <w:p w14:paraId="6A4D3801">
      <w:r>
        <w:br w:type="page"/>
      </w:r>
    </w:p>
    <w:p w14:paraId="44D23B80">
      <w:pPr>
        <w:pStyle w:val="3"/>
      </w:pPr>
      <w:r>
        <w:t>Yeni sentetik videolar ve seçilen yolun tekrar oynatılması</w:t>
      </w:r>
    </w:p>
    <w:p w14:paraId="5757FB47">
      <w:r>
        <w:t>Ekip içinde yeni sentetik videolar ürettik. Uygulamaya D01 isme tepki örneği için 7, D02 işaret edilen yöne yönelme örneği için 5 olmak üzere toplam 12 ayrı klip ekledik. D01’de ortak başlangıç ve üç dal, D02’de ortak başlangıç ve iki dal bulunuyor. Her dal iki kliple ilerliyor. Yeni üretilen genel senaryoların bu sabit örnek videolara otomatik bağlanması henüz yok.</w:t>
      </w:r>
    </w:p>
    <w:p w14:paraId="26AF0EA1">
      <w:r>
        <w:t>Oynatıcıyı gerçek video bitişinde sonraki klibe geçecek şekilde düzenledik. Kullanıcı yolun sonunda seçtiği akışı ortak başlangıçtan itibaren tekrar izleyebiliyor. D01’de başlangıç, dal seçimi ve yol tekrarı akışını emülatörde kontrol ettik. D02’nin manuel kontrolü açık kaldı. Bu özellik ayrı dosyaların art arda oynatılmasıdır; tek MP4 üretmiyoruz. Geçişlerdeki iyileşmeye rağmen boşluksuz görüntü ve ses sürekliliğini ölçümle doğrulamadık.</w:t>
      </w:r>
    </w:p>
    <w:p w14:paraId="670B2026">
      <w:r>
        <w:t>Mevcut örnek videolar uygulama paketinde bulunuyor ve cihazda oynatılıyor. Bu akış için sunucuda video birleştirme veya video depolama hizmeti çalıştırmıyoruz. İleride yükleme ya da tek dosyaya dönüştürme eklenirse oluşacak işlem ve depolama ihtiyacını ayrıca değerlendireceğiz.</w:t>
      </w:r>
    </w:p>
    <w:p w14:paraId="3266EA82">
      <w:pPr>
        <w:pStyle w:val="3"/>
      </w:pPr>
      <w:r>
        <w:t>Sese tepkiye yönelik video analizi çalışması</w:t>
      </w:r>
    </w:p>
    <w:p w14:paraId="173E2EEF">
      <w:r>
        <w:t>Ekipteki video analizi çalışmasında sese tepki konusu ele alındı. Bu çalışmayı, mobil uygulamaya bağlanan analizden ayrı bir geliştirme olarak sürdürüyoruz. Mevcut mobil ekran video seçme ve izlemeyi destekliyor; seçilen videodan gerçek tepki süresi, yönelme sonucu veya güven değeri üreten bir analiz servisine henüz bağlı değil.</w:t>
      </w:r>
    </w:p>
    <w:p w14:paraId="2A34B2F7">
      <w:r>
        <w:t>İsme tepki için yalnızca baş hareketini bulmak yeterli değil. Çocuğun seslenen kişiye mi yoksa başka bir yöne mi döndüğünü ayırma, seslenme anıyla hareket başlangıcını eşleştirme ve güven değerinin hangi ölçümlere dayanacağını belirleme işleri açık. Bu hafta için doğrulanmış bir analiz başarı oranı veya güven yüzdesi vermiyoruz.</w:t>
      </w:r>
    </w:p>
    <w:p w14:paraId="7DAA4C2A">
      <w:pPr>
        <w:pStyle w:val="2"/>
      </w:pPr>
      <w:r>
        <w:t>Kontroller ve GitHub durumu</w:t>
      </w:r>
    </w:p>
    <w:p w14:paraId="525CD355">
      <w:r>
        <w:t>Senaryo üretimi, RAG, mobil akış ve video varlıklarını entegrasyon dalında topladık. Farklı geliştirme aşamalarında 309 mobil test ve statik analiz, 79 backend testi; D01 zamanlama değişikliğinde 22 ilgili mobil test ve 42 backend testi için başarılı sonuçlar kaydedildi. Oynatmada 17 test, video eşlemesinde 10 kontrol geçti. Sunucu imajında 86 backend testi ve üretim bağımlılıklarının güvenlik taraması tamamlandı; taramada açık bildirilmedi.</w:t>
      </w:r>
    </w:p>
    <w:p w14:paraId="69EC7BE1">
      <w:r>
        <w:t>Bu kontroller farklı sürüm ve kapsamları temsil ediyor; son adres değişikliğinin veya bütün uygulamanın doğrulandığı anlamına gelmiyor. Son değişiklikten sonra hedef testler ve release APK derlemesi tamamlanmadı. Fiziksel Android cihaz ve iPhone 11 üzerinde doğrulama da açık kaldı. Davranış kartlarında kaynak bağlantıları mevcut; GitHub’da bağlantılar ve kısa açıklamalar içeren ayrı literatür klasörünü henüz tamamlamadık.</w:t>
      </w:r>
    </w:p>
    <w:p w14:paraId="237C287A">
      <w:pPr>
        <w:pStyle w:val="2"/>
      </w:pPr>
      <w:r>
        <w:t>Yarıda kalan işler ve sonraki adımlar</w:t>
      </w:r>
    </w:p>
    <w:p w14:paraId="64935AE4">
      <w:r>
        <w:t>Öncelikle sunucuya doğrudan erişimi ve HTTPS’i tamamlayıp son mobil yapılandırmayı test edeceğiz. Aynı girdilerle A/B/C çıktıları, yanıt süreleri ve içerik sorunlarını kaydederek kaynak bağlamının etkisini değerlendireceğiz. Güncellenen D01 zamanlama kuralıyla gerçek klip planını tekrar üretecek, D02 oynatmasını ve videoların sahne sürekliliğini kontrol edeceğiz. Ayrı yürütülen sese tepki analizi çalışmasının yöntem ve sonuçlarını ortak kayda aktararak mobil bağlantısına ilerleyeceğiz. Literatür klasörü, sunucunun yeniden başlaması ve yedekten geri yükleme kontrolleri de sonraki çalışmalarımız arasında.</w:t>
      </w:r>
    </w:p>
    <w:p w14:paraId="303AC7CC">
      <w:r>
        <w:br w:type="page"/>
      </w:r>
    </w:p>
    <w:p w14:paraId="267B4D50">
      <w:pPr>
        <w:pStyle w:val="2"/>
      </w:pPr>
      <w:r>
        <w:t>Senaryo üretiminde bağlam süre ve token karşılaştırması</w:t>
      </w:r>
    </w:p>
    <w:p w14:paraId="49FA5BC2">
      <w:r>
        <w:t>Normal üretim ile RAG arasındaki farkı değerlendirmek için önce uygulamadaki üretim yollarını ayırdık. Güncel normal üretimde seçilen davranış kartlarının kuralları ve tam metni zaten isteme ekleniyor. Bu nedenle normal üretimi kaynaksız bir model çağrısı olarak değerlendirmiyoruz. A/B/C düzeni, aynı model ve üretim ayarlarıyla farklı miktarda kart bağlamını karşılaştırmak için hazırlandı.</w:t>
      </w:r>
    </w:p>
    <w:p w14:paraId="6D07A141">
      <w:pPr>
        <w:pStyle w:val="3"/>
      </w:pPr>
      <w:r>
        <w:t>Güncel üretim yollarının farkı</w:t>
      </w:r>
    </w:p>
    <w:tbl>
      <w:tblPr>
        <w:tblStyle w:val="12"/>
        <w:tblW w:w="0" w:type="auto"/>
        <w:jc w:val="center"/>
        <w:tblLayout w:type="autofit"/>
        <w:tblCellMar>
          <w:top w:w="0" w:type="dxa"/>
          <w:left w:w="108" w:type="dxa"/>
          <w:bottom w:w="0" w:type="dxa"/>
          <w:right w:w="108" w:type="dxa"/>
        </w:tblCellMar>
      </w:tblPr>
      <w:tblGrid>
        <w:gridCol w:w="3768"/>
        <w:gridCol w:w="5997"/>
      </w:tblGrid>
      <w:tr w14:paraId="2CFC7893">
        <w:tblPrEx>
          <w:tblCellMar>
            <w:top w:w="0" w:type="dxa"/>
            <w:left w:w="108" w:type="dxa"/>
            <w:bottom w:w="0" w:type="dxa"/>
            <w:right w:w="108" w:type="dxa"/>
          </w:tblCellMar>
        </w:tblPrEx>
        <w:trPr>
          <w:tblHeader/>
          <w:jc w:val="center"/>
        </w:trPr>
        <w:tc>
          <w:tcPr>
            <w:tcW w:w="4802"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69E6F82A">
            <w:pPr>
              <w:spacing w:after="40" w:line="240" w:lineRule="auto"/>
            </w:pPr>
            <w:r>
              <w:rPr>
                <w:b/>
                <w:sz w:val="20"/>
              </w:rPr>
              <w:t>Üretim yolu</w:t>
            </w:r>
          </w:p>
        </w:tc>
        <w:tc>
          <w:tcPr>
            <w:tcW w:w="4802"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4B1391C7">
            <w:pPr>
              <w:spacing w:after="40" w:line="240" w:lineRule="auto"/>
            </w:pPr>
            <w:r>
              <w:rPr>
                <w:b/>
                <w:sz w:val="20"/>
              </w:rPr>
              <w:t>Modele verilen kart bağlamı</w:t>
            </w:r>
          </w:p>
        </w:tc>
      </w:tr>
      <w:tr w14:paraId="707CE124">
        <w:tblPrEx>
          <w:tblCellMar>
            <w:top w:w="0" w:type="dxa"/>
            <w:left w:w="108" w:type="dxa"/>
            <w:bottom w:w="0" w:type="dxa"/>
            <w:right w:w="108" w:type="dxa"/>
          </w:tblCellMar>
        </w:tblPrEx>
        <w:trPr>
          <w:jc w:val="center"/>
        </w:trPr>
        <w:tc>
          <w:tcPr>
            <w:tcW w:w="187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7C9486F">
            <w:pPr>
              <w:spacing w:after="40" w:line="240" w:lineRule="auto"/>
            </w:pPr>
            <w:r>
              <w:rPr>
                <w:b w:val="0"/>
                <w:sz w:val="20"/>
              </w:rPr>
              <w:t>Normal üretim</w:t>
            </w:r>
          </w:p>
        </w:tc>
        <w:tc>
          <w:tcPr>
            <w:tcW w:w="770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E13E787">
            <w:pPr>
              <w:spacing w:after="40" w:line="240" w:lineRule="auto"/>
            </w:pPr>
            <w:r>
              <w:rPr>
                <w:b w:val="0"/>
                <w:sz w:val="20"/>
              </w:rPr>
              <w:t>Ortak kurallar ve seçilen kartların tam metni.</w:t>
            </w:r>
          </w:p>
        </w:tc>
      </w:tr>
      <w:tr w14:paraId="529F90C5">
        <w:tblPrEx>
          <w:tblCellMar>
            <w:top w:w="0" w:type="dxa"/>
            <w:left w:w="108" w:type="dxa"/>
            <w:bottom w:w="0" w:type="dxa"/>
            <w:right w:w="108" w:type="dxa"/>
          </w:tblCellMar>
        </w:tblPrEx>
        <w:trPr>
          <w:jc w:val="center"/>
        </w:trPr>
        <w:tc>
          <w:tcPr>
            <w:tcW w:w="187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798A1D4">
            <w:pPr>
              <w:spacing w:after="40" w:line="240" w:lineRule="auto"/>
            </w:pPr>
            <w:r>
              <w:rPr>
                <w:b w:val="0"/>
                <w:sz w:val="20"/>
              </w:rPr>
              <w:t>A kolu</w:t>
            </w:r>
          </w:p>
        </w:tc>
        <w:tc>
          <w:tcPr>
            <w:tcW w:w="770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9CE9A76">
            <w:pPr>
              <w:spacing w:after="40" w:line="240" w:lineRule="auto"/>
            </w:pPr>
            <w:r>
              <w:rPr>
                <w:b w:val="0"/>
                <w:sz w:val="20"/>
              </w:rPr>
              <w:t>Seçilen kartların tam metni yok; ortak görev ve bazı özel yönergeler var.</w:t>
            </w:r>
          </w:p>
        </w:tc>
      </w:tr>
      <w:tr w14:paraId="4EC737C9">
        <w:tblPrEx>
          <w:tblCellMar>
            <w:top w:w="0" w:type="dxa"/>
            <w:left w:w="108" w:type="dxa"/>
            <w:bottom w:w="0" w:type="dxa"/>
            <w:right w:w="108" w:type="dxa"/>
          </w:tblCellMar>
        </w:tblPrEx>
        <w:trPr>
          <w:jc w:val="center"/>
        </w:trPr>
        <w:tc>
          <w:tcPr>
            <w:tcW w:w="187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4613A2F">
            <w:pPr>
              <w:spacing w:after="40" w:line="240" w:lineRule="auto"/>
            </w:pPr>
            <w:r>
              <w:rPr>
                <w:b w:val="0"/>
                <w:sz w:val="20"/>
              </w:rPr>
              <w:t>B kolu</w:t>
            </w:r>
          </w:p>
        </w:tc>
        <w:tc>
          <w:tcPr>
            <w:tcW w:w="770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F7E4DD4">
            <w:pPr>
              <w:spacing w:after="40" w:line="240" w:lineRule="auto"/>
            </w:pPr>
            <w:r>
              <w:rPr>
                <w:b w:val="0"/>
                <w:sz w:val="20"/>
              </w:rPr>
              <w:t>Seçilen kartların tam metni. Kaynakları normal üretime benzer; istem birebir aynı değil.</w:t>
            </w:r>
          </w:p>
        </w:tc>
      </w:tr>
      <w:tr w14:paraId="25403A11">
        <w:tblPrEx>
          <w:tblCellMar>
            <w:top w:w="0" w:type="dxa"/>
            <w:left w:w="108" w:type="dxa"/>
            <w:bottom w:w="0" w:type="dxa"/>
            <w:right w:w="108" w:type="dxa"/>
          </w:tblCellMar>
        </w:tblPrEx>
        <w:trPr>
          <w:jc w:val="center"/>
        </w:trPr>
        <w:tc>
          <w:tcPr>
            <w:tcW w:w="187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3A99582">
            <w:pPr>
              <w:spacing w:after="40" w:line="240" w:lineRule="auto"/>
            </w:pPr>
            <w:r>
              <w:rPr>
                <w:b w:val="0"/>
                <w:sz w:val="20"/>
              </w:rPr>
              <w:t>C kolu</w:t>
            </w:r>
          </w:p>
        </w:tc>
        <w:tc>
          <w:tcPr>
            <w:tcW w:w="770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6B3DD17">
            <w:pPr>
              <w:spacing w:after="40" w:line="240" w:lineRule="auto"/>
            </w:pPr>
            <w:r>
              <w:rPr>
                <w:b w:val="0"/>
                <w:sz w:val="20"/>
              </w:rPr>
              <w:t>Güncel davranış kartları belgesinin tamamı.</w:t>
            </w:r>
          </w:p>
        </w:tc>
      </w:tr>
    </w:tbl>
    <w:p w14:paraId="650EECE8">
      <w:pPr>
        <w:pStyle w:val="3"/>
        <w:spacing w:before="140"/>
      </w:pPr>
      <w:r>
        <w:t>23 Ekim tarihli eski prototipin ölçümleri</w:t>
      </w:r>
    </w:p>
    <w:p w14:paraId="4F053CC6">
      <w:r>
        <w:t>Yerel benchmark kaydında D01, 19 ay ve Gemini 3.5 Flash-Lite için kol başına bir ölçüm bulduk. Bu kayıtlar eski 26 sahneli, risk profilli bilgi tabanını kullanan prototipe aittir; güncel kart ve anlatı sözleşmesinin sonuçları değildir. Aşağıdaki toplam token değerlerini kayıtlı girdi ve çıktı sayaçlarını toplayarak hesapladık.</w:t>
      </w:r>
    </w:p>
    <w:tbl>
      <w:tblPr>
        <w:tblStyle w:val="12"/>
        <w:tblW w:w="0" w:type="auto"/>
        <w:jc w:val="center"/>
        <w:tblLayout w:type="autofit"/>
        <w:tblCellMar>
          <w:top w:w="0" w:type="dxa"/>
          <w:left w:w="108" w:type="dxa"/>
          <w:bottom w:w="0" w:type="dxa"/>
          <w:right w:w="108" w:type="dxa"/>
        </w:tblCellMar>
      </w:tblPr>
      <w:tblGrid>
        <w:gridCol w:w="1586"/>
        <w:gridCol w:w="1585"/>
        <w:gridCol w:w="1585"/>
        <w:gridCol w:w="1641"/>
        <w:gridCol w:w="1782"/>
        <w:gridCol w:w="1586"/>
      </w:tblGrid>
      <w:tr w14:paraId="4CF7A2B8">
        <w:tblPrEx>
          <w:tblCellMar>
            <w:top w:w="0" w:type="dxa"/>
            <w:left w:w="108" w:type="dxa"/>
            <w:bottom w:w="0" w:type="dxa"/>
            <w:right w:w="108" w:type="dxa"/>
          </w:tblCellMar>
        </w:tblPrEx>
        <w:trPr>
          <w:tblHeader/>
          <w:jc w:val="center"/>
        </w:trPr>
        <w:tc>
          <w:tcPr>
            <w:tcW w:w="1601"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1C24E509">
            <w:pPr>
              <w:spacing w:after="40" w:line="240" w:lineRule="auto"/>
            </w:pPr>
            <w:r>
              <w:rPr>
                <w:b/>
                <w:sz w:val="20"/>
              </w:rPr>
              <w:t>Kol</w:t>
            </w:r>
          </w:p>
        </w:tc>
        <w:tc>
          <w:tcPr>
            <w:tcW w:w="1601"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4C8CCB1B">
            <w:pPr>
              <w:spacing w:after="40" w:line="240" w:lineRule="auto"/>
            </w:pPr>
            <w:r>
              <w:rPr>
                <w:b/>
                <w:sz w:val="20"/>
              </w:rPr>
              <w:t>Girdi tokenı</w:t>
            </w:r>
          </w:p>
        </w:tc>
        <w:tc>
          <w:tcPr>
            <w:tcW w:w="1601"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71CFB0E0">
            <w:pPr>
              <w:spacing w:after="40" w:line="240" w:lineRule="auto"/>
            </w:pPr>
            <w:r>
              <w:rPr>
                <w:b/>
                <w:sz w:val="20"/>
              </w:rPr>
              <w:t>Çıktı tokenı</w:t>
            </w:r>
          </w:p>
        </w:tc>
        <w:tc>
          <w:tcPr>
            <w:tcW w:w="1601"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04073C6E">
            <w:pPr>
              <w:spacing w:after="40" w:line="240" w:lineRule="auto"/>
            </w:pPr>
            <w:r>
              <w:rPr>
                <w:b/>
                <w:sz w:val="20"/>
              </w:rPr>
              <w:t>Toplam token</w:t>
            </w:r>
          </w:p>
        </w:tc>
        <w:tc>
          <w:tcPr>
            <w:tcW w:w="1601"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14D1CE77">
            <w:pPr>
              <w:spacing w:after="40" w:line="240" w:lineRule="auto"/>
            </w:pPr>
            <w:r>
              <w:rPr>
                <w:b/>
                <w:sz w:val="20"/>
              </w:rPr>
              <w:t>API süresi</w:t>
            </w:r>
          </w:p>
        </w:tc>
        <w:tc>
          <w:tcPr>
            <w:tcW w:w="1601"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1AE87110">
            <w:pPr>
              <w:spacing w:after="40" w:line="240" w:lineRule="auto"/>
            </w:pPr>
            <w:r>
              <w:rPr>
                <w:b/>
                <w:sz w:val="20"/>
              </w:rPr>
              <w:t>Tekrar</w:t>
            </w:r>
          </w:p>
        </w:tc>
      </w:tr>
      <w:tr w14:paraId="3F295F00">
        <w:tblPrEx>
          <w:tblCellMar>
            <w:top w:w="0" w:type="dxa"/>
            <w:left w:w="108" w:type="dxa"/>
            <w:bottom w:w="0" w:type="dxa"/>
            <w:right w:w="108" w:type="dxa"/>
          </w:tblCellMar>
        </w:tblPrEx>
        <w:trPr>
          <w:jc w:val="center"/>
        </w:trPr>
        <w:tc>
          <w:tcPr>
            <w:tcW w:w="158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201B8E5">
            <w:pPr>
              <w:spacing w:after="40" w:line="240" w:lineRule="auto"/>
            </w:pPr>
            <w:r>
              <w:rPr>
                <w:b w:val="0"/>
                <w:sz w:val="20"/>
              </w:rPr>
              <w:t>A temel</w:t>
            </w:r>
          </w:p>
        </w:tc>
        <w:tc>
          <w:tcPr>
            <w:tcW w:w="15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04F8E1C">
            <w:pPr>
              <w:spacing w:after="40" w:line="240" w:lineRule="auto"/>
            </w:pPr>
            <w:r>
              <w:rPr>
                <w:b w:val="0"/>
                <w:sz w:val="20"/>
              </w:rPr>
              <w:t>975</w:t>
            </w:r>
          </w:p>
        </w:tc>
        <w:tc>
          <w:tcPr>
            <w:tcW w:w="15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F235DF5">
            <w:pPr>
              <w:spacing w:after="40" w:line="240" w:lineRule="auto"/>
            </w:pPr>
            <w:r>
              <w:rPr>
                <w:b w:val="0"/>
                <w:sz w:val="20"/>
              </w:rPr>
              <w:t>8.056</w:t>
            </w:r>
          </w:p>
        </w:tc>
        <w:tc>
          <w:tcPr>
            <w:tcW w:w="165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2957391">
            <w:pPr>
              <w:spacing w:after="40" w:line="240" w:lineRule="auto"/>
            </w:pPr>
            <w:r>
              <w:rPr>
                <w:b w:val="0"/>
                <w:sz w:val="20"/>
              </w:rPr>
              <w:t>9.031</w:t>
            </w:r>
          </w:p>
        </w:tc>
        <w:tc>
          <w:tcPr>
            <w:tcW w:w="1800"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0D560CB">
            <w:pPr>
              <w:spacing w:after="40" w:line="240" w:lineRule="auto"/>
            </w:pPr>
            <w:r>
              <w:rPr>
                <w:b w:val="0"/>
                <w:sz w:val="20"/>
              </w:rPr>
              <w:t>29,153 sn</w:t>
            </w:r>
          </w:p>
        </w:tc>
        <w:tc>
          <w:tcPr>
            <w:tcW w:w="15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4CBF991">
            <w:pPr>
              <w:spacing w:after="40" w:line="240" w:lineRule="auto"/>
            </w:pPr>
            <w:r>
              <w:rPr>
                <w:b w:val="0"/>
                <w:sz w:val="20"/>
              </w:rPr>
              <w:t>0</w:t>
            </w:r>
          </w:p>
        </w:tc>
      </w:tr>
      <w:tr w14:paraId="1D8B97AC">
        <w:tblPrEx>
          <w:tblCellMar>
            <w:top w:w="0" w:type="dxa"/>
            <w:left w:w="108" w:type="dxa"/>
            <w:bottom w:w="0" w:type="dxa"/>
            <w:right w:w="108" w:type="dxa"/>
          </w:tblCellMar>
        </w:tblPrEx>
        <w:trPr>
          <w:jc w:val="center"/>
        </w:trPr>
        <w:tc>
          <w:tcPr>
            <w:tcW w:w="158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472DCAD">
            <w:pPr>
              <w:spacing w:after="40" w:line="240" w:lineRule="auto"/>
            </w:pPr>
            <w:r>
              <w:rPr>
                <w:b w:val="0"/>
                <w:sz w:val="20"/>
              </w:rPr>
              <w:t>B seçici</w:t>
            </w:r>
          </w:p>
        </w:tc>
        <w:tc>
          <w:tcPr>
            <w:tcW w:w="15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38F7B3D">
            <w:pPr>
              <w:spacing w:after="40" w:line="240" w:lineRule="auto"/>
            </w:pPr>
            <w:r>
              <w:rPr>
                <w:b w:val="0"/>
                <w:sz w:val="20"/>
              </w:rPr>
              <w:t>1.440</w:t>
            </w:r>
          </w:p>
        </w:tc>
        <w:tc>
          <w:tcPr>
            <w:tcW w:w="15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50262F2">
            <w:pPr>
              <w:spacing w:after="40" w:line="240" w:lineRule="auto"/>
            </w:pPr>
            <w:r>
              <w:rPr>
                <w:b w:val="0"/>
                <w:sz w:val="20"/>
              </w:rPr>
              <w:t>6.062</w:t>
            </w:r>
          </w:p>
        </w:tc>
        <w:tc>
          <w:tcPr>
            <w:tcW w:w="165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98266D1">
            <w:pPr>
              <w:spacing w:after="40" w:line="240" w:lineRule="auto"/>
            </w:pPr>
            <w:r>
              <w:rPr>
                <w:b w:val="0"/>
                <w:sz w:val="20"/>
              </w:rPr>
              <w:t>7.502</w:t>
            </w:r>
          </w:p>
        </w:tc>
        <w:tc>
          <w:tcPr>
            <w:tcW w:w="1800"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A0FFDD7">
            <w:pPr>
              <w:spacing w:after="40" w:line="240" w:lineRule="auto"/>
            </w:pPr>
            <w:r>
              <w:rPr>
                <w:b w:val="0"/>
                <w:sz w:val="20"/>
              </w:rPr>
              <w:t>30,159 sn</w:t>
            </w:r>
          </w:p>
        </w:tc>
        <w:tc>
          <w:tcPr>
            <w:tcW w:w="15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941ABEE">
            <w:pPr>
              <w:spacing w:after="40" w:line="240" w:lineRule="auto"/>
            </w:pPr>
            <w:r>
              <w:rPr>
                <w:b w:val="0"/>
                <w:sz w:val="20"/>
              </w:rPr>
              <w:t>0</w:t>
            </w:r>
          </w:p>
        </w:tc>
      </w:tr>
      <w:tr w14:paraId="399E4F9E">
        <w:tblPrEx>
          <w:tblCellMar>
            <w:top w:w="0" w:type="dxa"/>
            <w:left w:w="108" w:type="dxa"/>
            <w:bottom w:w="0" w:type="dxa"/>
            <w:right w:w="108" w:type="dxa"/>
          </w:tblCellMar>
        </w:tblPrEx>
        <w:trPr>
          <w:jc w:val="center"/>
        </w:trPr>
        <w:tc>
          <w:tcPr>
            <w:tcW w:w="158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360D232">
            <w:pPr>
              <w:spacing w:after="40" w:line="240" w:lineRule="auto"/>
            </w:pPr>
            <w:r>
              <w:rPr>
                <w:b w:val="0"/>
                <w:sz w:val="20"/>
              </w:rPr>
              <w:t>C tam bağlam</w:t>
            </w:r>
          </w:p>
        </w:tc>
        <w:tc>
          <w:tcPr>
            <w:tcW w:w="15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D2B6145">
            <w:pPr>
              <w:spacing w:after="40" w:line="240" w:lineRule="auto"/>
            </w:pPr>
            <w:r>
              <w:rPr>
                <w:b w:val="0"/>
                <w:sz w:val="20"/>
              </w:rPr>
              <w:t>3.535</w:t>
            </w:r>
          </w:p>
        </w:tc>
        <w:tc>
          <w:tcPr>
            <w:tcW w:w="15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A098702">
            <w:pPr>
              <w:spacing w:after="40" w:line="240" w:lineRule="auto"/>
            </w:pPr>
            <w:r>
              <w:rPr>
                <w:b w:val="0"/>
                <w:sz w:val="20"/>
              </w:rPr>
              <w:t>8.671</w:t>
            </w:r>
          </w:p>
        </w:tc>
        <w:tc>
          <w:tcPr>
            <w:tcW w:w="165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9D090DE">
            <w:pPr>
              <w:spacing w:after="40" w:line="240" w:lineRule="auto"/>
            </w:pPr>
            <w:r>
              <w:rPr>
                <w:b w:val="0"/>
                <w:sz w:val="20"/>
              </w:rPr>
              <w:t>12.206</w:t>
            </w:r>
          </w:p>
        </w:tc>
        <w:tc>
          <w:tcPr>
            <w:tcW w:w="1800"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AF11140">
            <w:pPr>
              <w:spacing w:after="40" w:line="240" w:lineRule="auto"/>
            </w:pPr>
            <w:r>
              <w:rPr>
                <w:b w:val="0"/>
                <w:sz w:val="20"/>
              </w:rPr>
              <w:t>19,455 sn</w:t>
            </w:r>
          </w:p>
        </w:tc>
        <w:tc>
          <w:tcPr>
            <w:tcW w:w="15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FBEA234">
            <w:pPr>
              <w:spacing w:after="40" w:line="240" w:lineRule="auto"/>
            </w:pPr>
            <w:r>
              <w:rPr>
                <w:b w:val="0"/>
                <w:sz w:val="20"/>
              </w:rPr>
              <w:t>1</w:t>
            </w:r>
          </w:p>
        </w:tc>
      </w:tr>
    </w:tbl>
    <w:p w14:paraId="4094441D">
      <w:pPr>
        <w:spacing w:before="140"/>
      </w:pPr>
      <w:r>
        <w:t>Bu tek üçlüde B, A’ya göre 465 fazla girdi tokenı kullandı (%47,7 artış); çıktı 1.994 token, toplam kullanım 1.529 token azaldı (%16,9 toplam azalma). Kayıtlı API süresi 1,006 saniye arttı (%3,5). C’de toplam token A’ya göre %35,2 arttı. C’nin görünen süresi yalnızca başarılı çağrıya ait; bir tekrarın başarısız çağrı süresini ve maliyetini kapsamıyor. Bu yüzden C’nin daha hızlı olduğu sonucunu çıkarmıyoruz.</w:t>
      </w:r>
    </w:p>
    <w:p w14:paraId="2DF64FC4">
      <w:r>
        <w:t>B için seçici kaynak getirme alanı 2,2804 ms kaydedilmiş. C’de bütün bağlam eklenmesine rağmen bu işlem aynı zamanlayıcıyla ölçülmediğinden 0 ms değeri işlemin süresiz olduğu anlamına gelmiyor. Üç çıktı da eski şema ve zamanlama kontrollerini geçti; ortam anahtar sözcüğü kontrolünü yalnız C geçti. Bu kontroller içerik doğruluğunun kanıtı değil. Ham cevaplar ve tam istemler saklanmadığı için ayrıntılı içerik karşılaştırması yapamıyoruz.</w:t>
      </w:r>
    </w:p>
    <w:p w14:paraId="0E51206D">
      <w:pPr>
        <w:pStyle w:val="3"/>
      </w:pPr>
      <w:r>
        <w:t>Ölçüm sınırları ve</w:t>
      </w:r>
      <w:bookmarkStart w:id="0" w:name="_GoBack"/>
      <w:bookmarkEnd w:id="0"/>
      <w:r>
        <w:t xml:space="preserve"> tamamlanacak karşılaştırma</w:t>
      </w:r>
    </w:p>
    <w:p w14:paraId="7F341773">
      <w:r>
        <w:t>Kol başına tek deneme, kaydedilmemiş varyasyonlar ve eski protokol nedeniyle bu tabloyu genel bir RAG başarısı veya güncel normal üretim kıyası olarak sunmuyoruz. Güncel akış kaynak getirme, sağlayıcı ve backend toplam sürelerini; sağlayıcının bildirdiği girdi ve çıktı tokenlarını taşıyabiliyor. Bu süreler birbirini kapsadığı için toplanmamalı. Mobil uçtan uca süre, cache ve reasoning tokenları ile maliyet için kayıt yok. Güncel akışta kalıcı karşılaştırma arşivi de henüz oluşmadı.</w:t>
      </w:r>
    </w:p>
    <w:p w14:paraId="7E90D68C">
      <w:r>
        <w:t>Sonraki deneyde aynı model, aynı girdiler ve aynı üretim ayarlarıyla A/B/C kollarını tekrarlı çalıştırıp ham cevapları, istemleri, tokenları, süreleri ve hata/tekrar bilgilerini birlikte kaydedeceğiz. Kart kurallarına uyumu ayrıca değerlendireceğiz. Eski ölçümlerin kaynağı backend/logs/model_benchmarks.jsonl dosyasıdır; dosya Git tarafından izlenmediği için deney kayıtlarının depoda ayrıca korunması gerekiyor.</w:t>
      </w:r>
    </w:p>
    <w:sectPr>
      <w:pgSz w:w="11909" w:h="16834"/>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6FA2F9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40" w:line="259" w:lineRule="auto"/>
    </w:pPr>
    <w:rPr>
      <w:rFonts w:ascii="Calibri" w:hAnsi="Calibri" w:eastAsiaTheme="minorEastAsia" w:cstheme="minorBidi"/>
      <w:color w:val="000000"/>
      <w:sz w:val="22"/>
      <w:szCs w:val="22"/>
      <w:lang w:val="en-US" w:eastAsia="en-US" w:bidi="ar-SA"/>
    </w:rPr>
  </w:style>
  <w:style w:type="paragraph" w:styleId="2">
    <w:name w:val="heading 1"/>
    <w:basedOn w:val="1"/>
    <w:next w:val="1"/>
    <w:link w:val="138"/>
    <w:qFormat/>
    <w:uiPriority w:val="9"/>
    <w:pPr>
      <w:keepNext/>
      <w:keepLines/>
      <w:spacing w:before="240" w:after="120"/>
      <w:outlineLvl w:val="0"/>
    </w:pPr>
    <w:rPr>
      <w:rFonts w:asciiTheme="majorHAnsi" w:hAnsiTheme="majorHAnsi" w:eastAsiaTheme="majorEastAsia" w:cstheme="majorBidi"/>
      <w:b/>
      <w:bCs/>
      <w:color w:val="000000"/>
      <w:sz w:val="28"/>
      <w:szCs w:val="28"/>
    </w:rPr>
  </w:style>
  <w:style w:type="paragraph" w:styleId="3">
    <w:name w:val="heading 2"/>
    <w:basedOn w:val="1"/>
    <w:next w:val="1"/>
    <w:link w:val="139"/>
    <w:unhideWhenUsed/>
    <w:qFormat/>
    <w:uiPriority w:val="9"/>
    <w:pPr>
      <w:keepNext/>
      <w:keepLines/>
      <w:spacing w:before="180" w:after="80"/>
      <w:outlineLvl w:val="1"/>
    </w:pPr>
    <w:rPr>
      <w:rFonts w:asciiTheme="majorHAnsi" w:hAnsiTheme="majorHAnsi" w:eastAsiaTheme="majorEastAsia" w:cstheme="majorBidi"/>
      <w:b/>
      <w:bCs/>
      <w:color w:val="000000"/>
      <w:sz w:val="24"/>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000000"/>
      <w:spacing w:val="15"/>
      <w:sz w:val="24"/>
      <w:szCs w:val="24"/>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spacing w:after="100" w:line="240" w:lineRule="auto"/>
      <w:contextualSpacing/>
    </w:pPr>
    <w:rPr>
      <w:rFonts w:asciiTheme="majorHAnsi" w:hAnsiTheme="majorHAnsi" w:eastAsiaTheme="majorEastAsia" w:cstheme="majorBidi"/>
      <w:color w:val="000000"/>
      <w:spacing w:val="5"/>
      <w:kern w:val="28"/>
      <w:sz w:val="44"/>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1572</Words>
  <Characters>10293</Characters>
  <Lines>0</Lines>
  <Paragraphs>0</Paragraphs>
  <TotalTime>1</TotalTime>
  <ScaleCrop>false</ScaleCrop>
  <LinksUpToDate>false</LinksUpToDate>
  <CharactersWithSpaces>11777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Proje ekibi</dc:creator>
  <dc:description>generated by python-docx</dc:description>
  <cp:lastModifiedBy>Mertcan Taşkıran</cp:lastModifiedBy>
  <dcterms:modified xsi:type="dcterms:W3CDTF">2026-10-26T17:39:05Z</dcterms:modified>
  <dc:title>İkinci Haftalık Çalışma Raporu</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eyJoZGlkIjoiODAxZDgzNGI5ODZmOWE3Yjg5ZDBmMDE5MWExNDNmYWUiLCJ1c2VySWQiOiIyNjExMzQ0NTIzMzQ4In0=</vt:lpwstr>
  </property>
  <property fmtid="{D5CDD505-2E9C-101B-9397-08002B2CF9AE}" pid="3" name="KSOProductBuildVer">
    <vt:lpwstr>1055-12.1.0.29162</vt:lpwstr>
  </property>
  <property fmtid="{D5CDD505-2E9C-101B-9397-08002B2CF9AE}" pid="4" name="ICV">
    <vt:lpwstr>F1CE59BCE0494017B63822ADA20142D7_12</vt:lpwstr>
  </property>
</Properties>
</file>