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20"/>
      </w:pPr>
      <w:r>
        <w:rPr>
          <w:b/>
          <w:bCs/>
          <w:color w:val="1F3864"/>
          <w:sz w:val="40"/>
          <w:szCs w:val="40"/>
        </w:rPr>
        <w:t xml:space="preserve">Liquidity-Aware Sampling of a Corporate Bond ETF Portfolio</w:t>
      </w:r>
    </w:p>
    <w:p>
      <w:pPr>
        <w:spacing w:after="60"/>
      </w:pPr>
      <w:r>
        <w:rPr>
          <w:i/>
          <w:iCs/>
          <w:color w:val="555555"/>
          <w:sz w:val="24"/>
          <w:szCs w:val="24"/>
        </w:rPr>
        <w:t xml:space="preserve">Methodology Notes and Interim Findings — Steps 1 through 3</w:t>
      </w:r>
    </w:p>
    <w:p>
      <w:pPr>
        <w:spacing w:after="400"/>
      </w:pPr>
      <w:r>
        <w:rPr>
          <w:color w:val="888888"/>
          <w:sz w:val="20"/>
          <w:szCs w:val="20"/>
        </w:rPr>
        <w:t xml:space="preserve">Benchmark: iShares iBoxx $ Investment Grade Corporate Bond ETF (LQD)  |  Data as of July 22, 2026</w:t>
      </w:r>
    </w:p>
    <w:p>
      <w:pPr>
        <w:pStyle w:val="Heading1"/>
        <w:spacing w:after="160" w:before="320"/>
      </w:pPr>
      <w:r>
        <w:t xml:space="preserve">1. Motivation and Research Question</w:t>
      </w:r>
    </w:p>
    <w:p>
      <w:pPr>
        <w:spacing w:after="160"/>
      </w:pPr>
      <w:r>
        <w:t xml:space="preserve">Corporate bond ETFs typically track indices containing hundreds or thousands of individual bonds. Full replication is expensive and often impractical because many bonds trade infrequently and incur higher transaction costs. Portfolio managers instead construct a representative sample that closely matches the benchmark’s risk characteristics while maintaining sufficient liquidity.</w:t>
      </w:r>
    </w:p>
    <w:p>
      <w:pPr>
        <w:spacing w:after="160"/>
      </w:pPr>
      <w:r>
        <w:t xml:space="preserve">This project studies that trade-off using only publicly available data: how does incorporating liquidity constraints affect the construction of a sampled corporate bond ETF portfolio, and what is the trade-off between portfolio liquidity and the accuracy with which the sampled portfolio replicates the benchmark’s characteristics?</w:t>
      </w:r>
    </w:p>
    <w:p>
      <w:pPr>
        <w:pStyle w:val="Heading1"/>
        <w:spacing w:after="160" w:before="320"/>
      </w:pPr>
      <w:r>
        <w:t xml:space="preserve">2. Data</w:t>
      </w:r>
    </w:p>
    <w:p>
      <w:pPr>
        <w:spacing w:after="160"/>
      </w:pPr>
      <w:r>
        <w:t xml:space="preserve">The benchmark is LQD’s full public holdings file (iShares "Data Download"), which is refreshed daily and requires no login. As of July 22, 2026, the fund held 3,143 bond positions across 591 unique issuers.</w:t>
      </w:r>
    </w:p>
    <w:p>
      <w:pPr>
        <w:pStyle w:val="Heading2"/>
        <w:spacing w:after="120" w:before="240"/>
      </w:pPr>
      <w:r>
        <w:t xml:space="preserve">2.1 Fields available directly</w:t>
      </w:r>
    </w:p>
    <w:p>
      <w:pPr>
        <w:spacing w:after="160"/>
      </w:pPr>
      <w:r>
        <w:t xml:space="preserve">Name (issuer), Sector, Weight, Market Value, Notional Value, Par Value, Price, Maturity date, Coupon, Effective Duration, Modified Duration, Yield to Maturity, Yield to Worst, Location (issuer country), and Currency.</w:t>
      </w:r>
    </w:p>
    <w:p>
      <w:pPr>
        <w:pStyle w:val="Heading2"/>
        <w:spacing w:after="120" w:before="240"/>
      </w:pPr>
      <w:r>
        <w:t xml:space="preserve">2.2 Fields not available, and how each gap was resolved</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2000"/>
        <w:gridCol w:w="3600"/>
        <w:gridCol w:w="4100"/>
      </w:tblGrid>
      <w:tr>
        <w:tc>
          <w:tcPr>
            <w:tcW w:type="dxa" w:w="2000"/>
            <w:shd w:fill="1F3864" w:val="clear"/>
            <w:tcMar>
              <w:top w:type="dxa" w:w="60"/>
              <w:left w:type="dxa" w:w="100"/>
              <w:bottom w:type="dxa" w:w="60"/>
              <w:right w:type="dxa" w:w="100"/>
            </w:tcMar>
          </w:tcPr>
          <w:p>
            <w:pPr>
              <w:jc w:val="center"/>
            </w:pPr>
            <w:r>
              <w:rPr>
                <w:b/>
                <w:bCs/>
                <w:color w:val="FFFFFF"/>
                <w:sz w:val="18"/>
                <w:szCs w:val="18"/>
              </w:rPr>
              <w:t xml:space="preserve">Field</w:t>
            </w:r>
          </w:p>
        </w:tc>
        <w:tc>
          <w:tcPr>
            <w:tcW w:type="dxa" w:w="3600"/>
            <w:shd w:fill="1F3864" w:val="clear"/>
            <w:tcMar>
              <w:top w:type="dxa" w:w="60"/>
              <w:left w:type="dxa" w:w="100"/>
              <w:bottom w:type="dxa" w:w="60"/>
              <w:right w:type="dxa" w:w="100"/>
            </w:tcMar>
          </w:tcPr>
          <w:p>
            <w:pPr>
              <w:jc w:val="center"/>
            </w:pPr>
            <w:r>
              <w:rPr>
                <w:b/>
                <w:bCs/>
                <w:color w:val="FFFFFF"/>
                <w:sz w:val="18"/>
                <w:szCs w:val="18"/>
              </w:rPr>
              <w:t xml:space="preserve">Gap</w:t>
            </w:r>
          </w:p>
        </w:tc>
        <w:tc>
          <w:tcPr>
            <w:tcW w:type="dxa" w:w="4100"/>
            <w:shd w:fill="1F3864" w:val="clear"/>
            <w:tcMar>
              <w:top w:type="dxa" w:w="60"/>
              <w:left w:type="dxa" w:w="100"/>
              <w:bottom w:type="dxa" w:w="60"/>
              <w:right w:type="dxa" w:w="100"/>
            </w:tcMar>
          </w:tcPr>
          <w:p>
            <w:pPr>
              <w:jc w:val="center"/>
            </w:pPr>
            <w:r>
              <w:rPr>
                <w:b/>
                <w:bCs/>
                <w:color w:val="FFFFFF"/>
                <w:sz w:val="18"/>
                <w:szCs w:val="18"/>
              </w:rPr>
              <w:t xml:space="preserve">Resolution</w:t>
            </w:r>
          </w:p>
        </w:tc>
      </w:tr>
      <w:tr>
        <w:tc>
          <w:tcPr>
            <w:tcW w:type="dxa" w:w="2000"/>
            <w:tcMar>
              <w:top w:type="dxa" w:w="60"/>
              <w:left w:type="dxa" w:w="100"/>
              <w:bottom w:type="dxa" w:w="60"/>
              <w:right w:type="dxa" w:w="100"/>
            </w:tcMar>
          </w:tcPr>
          <w:p>
            <w:pPr>
              <w:jc w:val="left"/>
            </w:pPr>
            <w:r>
              <w:rPr>
                <w:b w:val="false"/>
                <w:bCs w:val="false"/>
                <w:sz w:val="18"/>
                <w:szCs w:val="18"/>
              </w:rPr>
              <w:t xml:space="preserve">CUSIP / ISIN</w:t>
            </w:r>
          </w:p>
        </w:tc>
        <w:tc>
          <w:tcPr>
            <w:tcW w:type="dxa" w:w="3600"/>
            <w:tcMar>
              <w:top w:type="dxa" w:w="60"/>
              <w:left w:type="dxa" w:w="100"/>
              <w:bottom w:type="dxa" w:w="60"/>
              <w:right w:type="dxa" w:w="100"/>
            </w:tcMar>
          </w:tcPr>
          <w:p>
            <w:pPr>
              <w:jc w:val="center"/>
            </w:pPr>
            <w:r>
              <w:rPr>
                <w:b w:val="false"/>
                <w:bCs w:val="false"/>
                <w:sz w:val="18"/>
                <w:szCs w:val="18"/>
              </w:rPr>
              <w:t xml:space="preserve">Not included in the public holdings file.</w:t>
            </w:r>
          </w:p>
        </w:tc>
        <w:tc>
          <w:tcPr>
            <w:tcW w:type="dxa" w:w="4100"/>
            <w:tcMar>
              <w:top w:type="dxa" w:w="60"/>
              <w:left w:type="dxa" w:w="100"/>
              <w:bottom w:type="dxa" w:w="60"/>
              <w:right w:type="dxa" w:w="100"/>
            </w:tcMar>
          </w:tcPr>
          <w:p>
            <w:pPr>
              <w:jc w:val="center"/>
            </w:pPr>
            <w:r>
              <w:rPr>
                <w:b w:val="false"/>
                <w:bCs w:val="false"/>
                <w:sz w:val="18"/>
                <w:szCs w:val="18"/>
              </w:rPr>
              <w:t xml:space="preserve">Bonds are identified and matched across files using Issuer Name + Coupon + Maturity Date as a composite key.</w:t>
            </w:r>
          </w:p>
        </w:tc>
      </w:tr>
      <w:tr>
        <w:tc>
          <w:tcPr>
            <w:tcW w:type="dxa" w:w="2000"/>
            <w:shd w:fill="F2F2F2" w:val="clear"/>
            <w:tcMar>
              <w:top w:type="dxa" w:w="60"/>
              <w:left w:type="dxa" w:w="100"/>
              <w:bottom w:type="dxa" w:w="60"/>
              <w:right w:type="dxa" w:w="100"/>
            </w:tcMar>
          </w:tcPr>
          <w:p>
            <w:pPr>
              <w:jc w:val="left"/>
            </w:pPr>
            <w:r>
              <w:rPr>
                <w:b w:val="false"/>
                <w:bCs w:val="false"/>
                <w:sz w:val="18"/>
                <w:szCs w:val="18"/>
              </w:rPr>
              <w:t xml:space="preserve">Credit rating</w:t>
            </w:r>
          </w:p>
        </w:tc>
        <w:tc>
          <w:tcPr>
            <w:tcW w:type="dxa" w:w="3600"/>
            <w:shd w:fill="F2F2F2" w:val="clear"/>
            <w:tcMar>
              <w:top w:type="dxa" w:w="60"/>
              <w:left w:type="dxa" w:w="100"/>
              <w:bottom w:type="dxa" w:w="60"/>
              <w:right w:type="dxa" w:w="100"/>
            </w:tcMar>
          </w:tcPr>
          <w:p>
            <w:pPr>
              <w:jc w:val="center"/>
            </w:pPr>
            <w:r>
              <w:rPr>
                <w:b w:val="false"/>
                <w:bCs w:val="false"/>
                <w:sz w:val="18"/>
                <w:szCs w:val="18"/>
              </w:rPr>
              <w:t xml:space="preserve">No rating field, and no fund-level or bond-level rating in the base file.</w:t>
            </w:r>
          </w:p>
        </w:tc>
        <w:tc>
          <w:tcPr>
            <w:tcW w:type="dxa" w:w="4100"/>
            <w:shd w:fill="F2F2F2" w:val="clear"/>
            <w:tcMar>
              <w:top w:type="dxa" w:w="60"/>
              <w:left w:type="dxa" w:w="100"/>
              <w:bottom w:type="dxa" w:w="60"/>
              <w:right w:type="dxa" w:w="100"/>
            </w:tcMar>
          </w:tcPr>
          <w:p>
            <w:pPr>
              <w:jc w:val="center"/>
            </w:pPr>
            <w:r>
              <w:rPr>
                <w:b w:val="false"/>
                <w:bCs w:val="false"/>
                <w:sz w:val="18"/>
                <w:szCs w:val="18"/>
              </w:rPr>
              <w:t xml:space="preserve">See Section 2.3 — resolved via cross-matching against two related BlackRock funds.</w:t>
            </w:r>
          </w:p>
        </w:tc>
      </w:tr>
      <w:tr>
        <w:tc>
          <w:tcPr>
            <w:tcW w:type="dxa" w:w="2000"/>
            <w:tcMar>
              <w:top w:type="dxa" w:w="60"/>
              <w:left w:type="dxa" w:w="100"/>
              <w:bottom w:type="dxa" w:w="60"/>
              <w:right w:type="dxa" w:w="100"/>
            </w:tcMar>
          </w:tcPr>
          <w:p>
            <w:pPr>
              <w:jc w:val="left"/>
            </w:pPr>
            <w:r>
              <w:rPr>
                <w:b w:val="false"/>
                <w:bCs w:val="false"/>
                <w:sz w:val="18"/>
                <w:szCs w:val="18"/>
              </w:rPr>
              <w:t xml:space="preserve">Issue size / amount outstanding</w:t>
            </w:r>
          </w:p>
        </w:tc>
        <w:tc>
          <w:tcPr>
            <w:tcW w:type="dxa" w:w="3600"/>
            <w:tcMar>
              <w:top w:type="dxa" w:w="60"/>
              <w:left w:type="dxa" w:w="100"/>
              <w:bottom w:type="dxa" w:w="60"/>
              <w:right w:type="dxa" w:w="100"/>
            </w:tcMar>
          </w:tcPr>
          <w:p>
            <w:pPr>
              <w:jc w:val="center"/>
            </w:pPr>
            <w:r>
              <w:rPr>
                <w:b w:val="false"/>
                <w:bCs w:val="false"/>
                <w:sz w:val="18"/>
                <w:szCs w:val="18"/>
              </w:rPr>
              <w:t xml:space="preserve">Only the ETF’s own Par Value (position size) is available, not the bond’s total issue size.</w:t>
            </w:r>
          </w:p>
        </w:tc>
        <w:tc>
          <w:tcPr>
            <w:tcW w:type="dxa" w:w="4100"/>
            <w:tcMar>
              <w:top w:type="dxa" w:w="60"/>
              <w:left w:type="dxa" w:w="100"/>
              <w:bottom w:type="dxa" w:w="60"/>
              <w:right w:type="dxa" w:w="100"/>
            </w:tcMar>
          </w:tcPr>
          <w:p>
            <w:pPr>
              <w:jc w:val="center"/>
            </w:pPr>
            <w:r>
              <w:rPr>
                <w:b w:val="false"/>
                <w:bCs w:val="false"/>
                <w:sz w:val="18"/>
                <w:szCs w:val="18"/>
              </w:rPr>
              <w:t xml:space="preserve">Par Value is used as a liquidity proxy (Section 4.1) with this limitation explicitly noted.</w:t>
            </w:r>
          </w:p>
        </w:tc>
      </w:tr>
      <w:tr>
        <w:tc>
          <w:tcPr>
            <w:tcW w:type="dxa" w:w="2000"/>
            <w:shd w:fill="F2F2F2" w:val="clear"/>
            <w:tcMar>
              <w:top w:type="dxa" w:w="60"/>
              <w:left w:type="dxa" w:w="100"/>
              <w:bottom w:type="dxa" w:w="60"/>
              <w:right w:type="dxa" w:w="100"/>
            </w:tcMar>
          </w:tcPr>
          <w:p>
            <w:pPr>
              <w:jc w:val="left"/>
            </w:pPr>
            <w:r>
              <w:rPr>
                <w:b w:val="false"/>
                <w:bCs w:val="false"/>
                <w:sz w:val="18"/>
                <w:szCs w:val="18"/>
              </w:rPr>
              <w:t xml:space="preserve">Callable status</w:t>
            </w:r>
          </w:p>
        </w:tc>
        <w:tc>
          <w:tcPr>
            <w:tcW w:type="dxa" w:w="3600"/>
            <w:shd w:fill="F2F2F2" w:val="clear"/>
            <w:tcMar>
              <w:top w:type="dxa" w:w="60"/>
              <w:left w:type="dxa" w:w="100"/>
              <w:bottom w:type="dxa" w:w="60"/>
              <w:right w:type="dxa" w:w="100"/>
            </w:tcMar>
          </w:tcPr>
          <w:p>
            <w:pPr>
              <w:jc w:val="center"/>
            </w:pPr>
            <w:r>
              <w:rPr>
                <w:b w:val="false"/>
                <w:bCs w:val="false"/>
                <w:sz w:val="18"/>
                <w:szCs w:val="18"/>
              </w:rPr>
              <w:t xml:space="preserve">The "Yield to Call" column exists but is blank for all 3,143 holdings.</w:t>
            </w:r>
          </w:p>
        </w:tc>
        <w:tc>
          <w:tcPr>
            <w:tcW w:type="dxa" w:w="4100"/>
            <w:shd w:fill="F2F2F2" w:val="clear"/>
            <w:tcMar>
              <w:top w:type="dxa" w:w="60"/>
              <w:left w:type="dxa" w:w="100"/>
              <w:bottom w:type="dxa" w:w="60"/>
              <w:right w:type="dxa" w:w="100"/>
            </w:tcMar>
          </w:tcPr>
          <w:p>
            <w:pPr>
              <w:jc w:val="center"/>
            </w:pPr>
            <w:r>
              <w:rPr>
                <w:b w:val="false"/>
                <w:bCs w:val="false"/>
                <w:sz w:val="18"/>
                <w:szCs w:val="18"/>
              </w:rPr>
              <w:t xml:space="preserve">Not used; not currently distinguished in the analysis.</w:t>
            </w:r>
          </w:p>
        </w:tc>
      </w:tr>
    </w:tbl>
    <w:p>
      <w:pPr>
        <w:spacing w:after="200"/>
      </w:pPr>
    </w:p>
    <w:p>
      <w:pPr>
        <w:pStyle w:val="Heading2"/>
        <w:spacing w:after="120" w:before="240"/>
      </w:pPr>
      <w:r>
        <w:t xml:space="preserve">2.3 Resolving the credit rating gap</w:t>
      </w:r>
    </w:p>
    <w:p>
      <w:pPr>
        <w:spacing w:after="160"/>
      </w:pPr>
      <w:r>
        <w:t xml:space="preserve">LQD’s official fact sheet publishes a fund-level rating distribution (ratings sourced by BlackRock from S&amp;P, Moody’s, and Fitch): AAA 1.03%, AA 9.05%, A 47.93%, BBB 40.47%, cash/derivatives 1.52%. This gives a reliable benchmark-level target, but does not identify which rating applies to which individual bond.</w:t>
      </w:r>
    </w:p>
    <w:p>
      <w:pPr>
        <w:spacing w:after="160"/>
      </w:pPr>
      <w:r>
        <w:t xml:space="preserve">To recover a bond-level rating proxy from free data, each LQD bond was matched (by Issuer Name + Coupon + Maturity Date) against the public holdings of two other BlackRock funds built on closely related index methodologies:</w:t>
      </w:r>
    </w:p>
    <w:p>
      <w:pPr>
        <w:pStyle w:val="ListParagraph"/>
        <w:numPr>
          <w:ilvl w:val="0"/>
          <w:numId w:val="1"/>
        </w:numPr>
        <w:spacing w:after="80"/>
      </w:pPr>
      <w:r>
        <w:t xml:space="preserve">QLTA — iShares Aaa-A Rated Corporate Bond ETF (tracks a Bloomberg Aaa-A index)</w:t>
      </w:r>
    </w:p>
    <w:p>
      <w:pPr>
        <w:pStyle w:val="ListParagraph"/>
        <w:numPr>
          <w:ilvl w:val="0"/>
          <w:numId w:val="1"/>
        </w:numPr>
        <w:spacing w:after="80"/>
      </w:pPr>
      <w:r>
        <w:t xml:space="preserve">LQDB — iShares BBB Rated Corporate Bond ETF (tracks the iBoxx USD Liquid Investment Grade BBB 0+ Index — the same index family as LQD itself)</w:t>
      </w:r>
    </w:p>
    <w:p>
      <w:pPr>
        <w:spacing w:after="160"/>
      </w:pPr>
      <w:r>
        <w:t xml:space="preserve">A bond found in QLTA’s holdings is labeled "A-or-better"; a bond found in LQDB’s holdings is labeled "BBB". Bonds not directly matched (smaller or less-liquid names excluded from those funds’ own screens) are inferred from whichever bucket the same issuer’s other bonds fall into.</w:t>
      </w:r>
    </w:p>
    <w:p>
      <w:pPr>
        <w:spacing w:after="160"/>
      </w:pPr>
      <w:r>
        <w:rPr>
          <w:i/>
          <w:iCs/>
        </w:rPr>
        <w:t xml:space="preserve">Validation: this method recovers 59.56% A-or-better / 37.63% BBB / 2.81% Unknown-Ambiguous, versus the official 58.01% / 40.47% / 1.52% cash — within roughly 1–3 percentage points, using entirely public data.</w:t>
      </w:r>
    </w:p>
    <w:p>
      <w:r>
        <w:br w:type="page"/>
      </w:r>
    </w:p>
    <w:p>
      <w:pPr>
        <w:pStyle w:val="Heading1"/>
        <w:spacing w:after="160" w:before="320"/>
      </w:pPr>
      <w:r>
        <w:t xml:space="preserve">3. Step 1: Benchmark Construction</w:t>
      </w:r>
    </w:p>
    <w:p>
      <w:pPr>
        <w:spacing w:after="160"/>
      </w:pPr>
      <w:r>
        <w:t xml:space="preserve">The full LQD holdings file is treated as the benchmark portfolio. Aggregate characteristics are computed on the bond sleeve only (cash and derivatives, 0.74% of the fund, are excluded and weights renormalized to sum to 100%).</w:t>
      </w:r>
    </w:p>
    <w:tbl>
      <w:tblPr>
        <w:tblW w:type="dxa" w:w="9700"/>
        <w:tblBorders>
          <w:top w:val="single" w:color="auto" w:sz="4"/>
          <w:left w:val="single" w:color="auto" w:sz="4"/>
          <w:bottom w:val="single" w:color="auto" w:sz="4"/>
          <w:right w:val="single" w:color="auto" w:sz="4"/>
          <w:insideH w:val="single" w:color="auto" w:sz="4"/>
          <w:insideV w:val="single" w:color="auto" w:sz="4"/>
        </w:tblBorders>
      </w:tblPr>
      <w:tblGrid>
        <w:gridCol w:w="4600"/>
        <w:gridCol w:w="5100"/>
      </w:tblGrid>
      <w:tr>
        <w:tc>
          <w:tcPr>
            <w:tcW w:type="dxa" w:w="4600"/>
            <w:shd w:fill="1F3864" w:val="clear"/>
            <w:tcMar>
              <w:top w:type="dxa" w:w="60"/>
              <w:left w:type="dxa" w:w="100"/>
              <w:bottom w:type="dxa" w:w="60"/>
              <w:right w:type="dxa" w:w="100"/>
            </w:tcMar>
          </w:tcPr>
          <w:p>
            <w:pPr>
              <w:jc w:val="center"/>
            </w:pPr>
            <w:r>
              <w:rPr>
                <w:b/>
                <w:bCs/>
                <w:color w:val="FFFFFF"/>
                <w:sz w:val="18"/>
                <w:szCs w:val="18"/>
              </w:rPr>
              <w:t xml:space="preserve">Metric</w:t>
            </w:r>
          </w:p>
        </w:tc>
        <w:tc>
          <w:tcPr>
            <w:tcW w:type="dxa" w:w="5100"/>
            <w:shd w:fill="1F3864" w:val="clear"/>
            <w:tcMar>
              <w:top w:type="dxa" w:w="60"/>
              <w:left w:type="dxa" w:w="100"/>
              <w:bottom w:type="dxa" w:w="60"/>
              <w:right w:type="dxa" w:w="100"/>
            </w:tcMar>
          </w:tcPr>
          <w:p>
            <w:pPr>
              <w:jc w:val="center"/>
            </w:pPr>
            <w:r>
              <w:rPr>
                <w:b/>
                <w:bCs/>
                <w:color w:val="FFFFFF"/>
                <w:sz w:val="18"/>
                <w:szCs w:val="18"/>
              </w:rPr>
              <w:t xml:space="preserve">Value</w:t>
            </w:r>
          </w:p>
        </w:tc>
      </w:tr>
      <w:tr>
        <w:tc>
          <w:tcPr>
            <w:tcW w:type="dxa" w:w="4600"/>
            <w:tcMar>
              <w:top w:type="dxa" w:w="60"/>
              <w:left w:type="dxa" w:w="100"/>
              <w:bottom w:type="dxa" w:w="60"/>
              <w:right w:type="dxa" w:w="100"/>
            </w:tcMar>
          </w:tcPr>
          <w:p>
            <w:pPr>
              <w:jc w:val="left"/>
            </w:pPr>
            <w:r>
              <w:rPr>
                <w:b w:val="false"/>
                <w:bCs w:val="false"/>
                <w:sz w:val="18"/>
                <w:szCs w:val="18"/>
              </w:rPr>
              <w:t xml:space="preserve">Bond holdings / unique issuers</w:t>
            </w:r>
          </w:p>
        </w:tc>
        <w:tc>
          <w:tcPr>
            <w:tcW w:type="dxa" w:w="5100"/>
            <w:tcMar>
              <w:top w:type="dxa" w:w="60"/>
              <w:left w:type="dxa" w:w="100"/>
              <w:bottom w:type="dxa" w:w="60"/>
              <w:right w:type="dxa" w:w="100"/>
            </w:tcMar>
          </w:tcPr>
          <w:p>
            <w:pPr>
              <w:jc w:val="center"/>
            </w:pPr>
            <w:r>
              <w:rPr>
                <w:b w:val="false"/>
                <w:bCs w:val="false"/>
                <w:sz w:val="18"/>
                <w:szCs w:val="18"/>
              </w:rPr>
              <w:t xml:space="preserve">3,143 / 591</w:t>
            </w:r>
          </w:p>
        </w:tc>
      </w:tr>
      <w:tr>
        <w:tc>
          <w:tcPr>
            <w:tcW w:type="dxa" w:w="4600"/>
            <w:shd w:fill="F2F2F2" w:val="clear"/>
            <w:tcMar>
              <w:top w:type="dxa" w:w="60"/>
              <w:left w:type="dxa" w:w="100"/>
              <w:bottom w:type="dxa" w:w="60"/>
              <w:right w:type="dxa" w:w="100"/>
            </w:tcMar>
          </w:tcPr>
          <w:p>
            <w:pPr>
              <w:jc w:val="left"/>
            </w:pPr>
            <w:r>
              <w:rPr>
                <w:b w:val="false"/>
                <w:bCs w:val="false"/>
                <w:sz w:val="18"/>
                <w:szCs w:val="18"/>
              </w:rPr>
              <w:t xml:space="preserve">Weighted average years to maturity</w:t>
            </w:r>
          </w:p>
        </w:tc>
        <w:tc>
          <w:tcPr>
            <w:tcW w:type="dxa" w:w="5100"/>
            <w:shd w:fill="F2F2F2" w:val="clear"/>
            <w:tcMar>
              <w:top w:type="dxa" w:w="60"/>
              <w:left w:type="dxa" w:w="100"/>
              <w:bottom w:type="dxa" w:w="60"/>
              <w:right w:type="dxa" w:w="100"/>
            </w:tcMar>
          </w:tcPr>
          <w:p>
            <w:pPr>
              <w:jc w:val="center"/>
            </w:pPr>
            <w:r>
              <w:rPr>
                <w:b w:val="false"/>
                <w:bCs w:val="false"/>
                <w:sz w:val="18"/>
                <w:szCs w:val="18"/>
              </w:rPr>
              <w:t xml:space="preserve">13.06 years</w:t>
            </w:r>
          </w:p>
        </w:tc>
      </w:tr>
      <w:tr>
        <w:tc>
          <w:tcPr>
            <w:tcW w:type="dxa" w:w="4600"/>
            <w:tcMar>
              <w:top w:type="dxa" w:w="60"/>
              <w:left w:type="dxa" w:w="100"/>
              <w:bottom w:type="dxa" w:w="60"/>
              <w:right w:type="dxa" w:w="100"/>
            </w:tcMar>
          </w:tcPr>
          <w:p>
            <w:pPr>
              <w:jc w:val="left"/>
            </w:pPr>
            <w:r>
              <w:rPr>
                <w:b w:val="false"/>
                <w:bCs w:val="false"/>
                <w:sz w:val="18"/>
                <w:szCs w:val="18"/>
              </w:rPr>
              <w:t xml:space="preserve">Weighted average effective duration</w:t>
            </w:r>
          </w:p>
        </w:tc>
        <w:tc>
          <w:tcPr>
            <w:tcW w:type="dxa" w:w="5100"/>
            <w:tcMar>
              <w:top w:type="dxa" w:w="60"/>
              <w:left w:type="dxa" w:w="100"/>
              <w:bottom w:type="dxa" w:w="60"/>
              <w:right w:type="dxa" w:w="100"/>
            </w:tcMar>
          </w:tcPr>
          <w:p>
            <w:pPr>
              <w:jc w:val="center"/>
            </w:pPr>
            <w:r>
              <w:rPr>
                <w:b w:val="false"/>
                <w:bCs w:val="false"/>
                <w:sz w:val="18"/>
                <w:szCs w:val="18"/>
              </w:rPr>
              <w:t xml:space="preserve">7.86 years</w:t>
            </w:r>
          </w:p>
        </w:tc>
      </w:tr>
      <w:tr>
        <w:tc>
          <w:tcPr>
            <w:tcW w:type="dxa" w:w="4600"/>
            <w:shd w:fill="F2F2F2" w:val="clear"/>
            <w:tcMar>
              <w:top w:type="dxa" w:w="60"/>
              <w:left w:type="dxa" w:w="100"/>
              <w:bottom w:type="dxa" w:w="60"/>
              <w:right w:type="dxa" w:w="100"/>
            </w:tcMar>
          </w:tcPr>
          <w:p>
            <w:pPr>
              <w:jc w:val="left"/>
            </w:pPr>
            <w:r>
              <w:rPr>
                <w:b w:val="false"/>
                <w:bCs w:val="false"/>
                <w:sz w:val="18"/>
                <w:szCs w:val="18"/>
              </w:rPr>
              <w:t xml:space="preserve">Weighted average YTM</w:t>
            </w:r>
          </w:p>
        </w:tc>
        <w:tc>
          <w:tcPr>
            <w:tcW w:type="dxa" w:w="5100"/>
            <w:shd w:fill="F2F2F2" w:val="clear"/>
            <w:tcMar>
              <w:top w:type="dxa" w:w="60"/>
              <w:left w:type="dxa" w:w="100"/>
              <w:bottom w:type="dxa" w:w="60"/>
              <w:right w:type="dxa" w:w="100"/>
            </w:tcMar>
          </w:tcPr>
          <w:p>
            <w:pPr>
              <w:jc w:val="center"/>
            </w:pPr>
            <w:r>
              <w:rPr>
                <w:b w:val="false"/>
                <w:bCs w:val="false"/>
                <w:sz w:val="18"/>
                <w:szCs w:val="18"/>
              </w:rPr>
              <w:t xml:space="preserve">5.61%</w:t>
            </w:r>
          </w:p>
        </w:tc>
      </w:tr>
      <w:tr>
        <w:tc>
          <w:tcPr>
            <w:tcW w:type="dxa" w:w="4600"/>
            <w:tcMar>
              <w:top w:type="dxa" w:w="60"/>
              <w:left w:type="dxa" w:w="100"/>
              <w:bottom w:type="dxa" w:w="60"/>
              <w:right w:type="dxa" w:w="100"/>
            </w:tcMar>
          </w:tcPr>
          <w:p>
            <w:pPr>
              <w:jc w:val="left"/>
            </w:pPr>
            <w:r>
              <w:rPr>
                <w:b w:val="false"/>
                <w:bCs w:val="false"/>
                <w:sz w:val="18"/>
                <w:szCs w:val="18"/>
              </w:rPr>
              <w:t xml:space="preserve">Weighted average coupon</w:t>
            </w:r>
          </w:p>
        </w:tc>
        <w:tc>
          <w:tcPr>
            <w:tcW w:type="dxa" w:w="5100"/>
            <w:tcMar>
              <w:top w:type="dxa" w:w="60"/>
              <w:left w:type="dxa" w:w="100"/>
              <w:bottom w:type="dxa" w:w="60"/>
              <w:right w:type="dxa" w:w="100"/>
            </w:tcMar>
          </w:tcPr>
          <w:p>
            <w:pPr>
              <w:jc w:val="center"/>
            </w:pPr>
            <w:r>
              <w:rPr>
                <w:b w:val="false"/>
                <w:bCs w:val="false"/>
                <w:sz w:val="18"/>
                <w:szCs w:val="18"/>
              </w:rPr>
              <w:t xml:space="preserve">4.69%</w:t>
            </w:r>
          </w:p>
        </w:tc>
      </w:tr>
      <w:tr>
        <w:tc>
          <w:tcPr>
            <w:tcW w:type="dxa" w:w="4600"/>
            <w:shd w:fill="F2F2F2" w:val="clear"/>
            <w:tcMar>
              <w:top w:type="dxa" w:w="60"/>
              <w:left w:type="dxa" w:w="100"/>
              <w:bottom w:type="dxa" w:w="60"/>
              <w:right w:type="dxa" w:w="100"/>
            </w:tcMar>
          </w:tcPr>
          <w:p>
            <w:pPr>
              <w:jc w:val="left"/>
            </w:pPr>
            <w:r>
              <w:rPr>
                <w:b w:val="false"/>
                <w:bCs w:val="false"/>
                <w:sz w:val="18"/>
                <w:szCs w:val="18"/>
              </w:rPr>
              <w:t xml:space="preserve">Top 10 issuer weight</w:t>
            </w:r>
          </w:p>
        </w:tc>
        <w:tc>
          <w:tcPr>
            <w:tcW w:type="dxa" w:w="5100"/>
            <w:shd w:fill="F2F2F2" w:val="clear"/>
            <w:tcMar>
              <w:top w:type="dxa" w:w="60"/>
              <w:left w:type="dxa" w:w="100"/>
              <w:bottom w:type="dxa" w:w="60"/>
              <w:right w:type="dxa" w:w="100"/>
            </w:tcMar>
          </w:tcPr>
          <w:p>
            <w:pPr>
              <w:jc w:val="center"/>
            </w:pPr>
            <w:r>
              <w:rPr>
                <w:b w:val="false"/>
                <w:bCs w:val="false"/>
                <w:sz w:val="18"/>
                <w:szCs w:val="18"/>
              </w:rPr>
              <w:t xml:space="preserve">19.05%</w:t>
            </w:r>
          </w:p>
        </w:tc>
      </w:tr>
      <w:tr>
        <w:tc>
          <w:tcPr>
            <w:tcW w:type="dxa" w:w="4600"/>
            <w:tcMar>
              <w:top w:type="dxa" w:w="60"/>
              <w:left w:type="dxa" w:w="100"/>
              <w:bottom w:type="dxa" w:w="60"/>
              <w:right w:type="dxa" w:w="100"/>
            </w:tcMar>
          </w:tcPr>
          <w:p>
            <w:pPr>
              <w:jc w:val="left"/>
            </w:pPr>
            <w:r>
              <w:rPr>
                <w:b w:val="false"/>
                <w:bCs w:val="false"/>
                <w:sz w:val="18"/>
                <w:szCs w:val="18"/>
              </w:rPr>
              <w:t xml:space="preserve">Issuer HHI (0–10,000 scale)</w:t>
            </w:r>
          </w:p>
        </w:tc>
        <w:tc>
          <w:tcPr>
            <w:tcW w:type="dxa" w:w="5100"/>
            <w:tcMar>
              <w:top w:type="dxa" w:w="60"/>
              <w:left w:type="dxa" w:w="100"/>
              <w:bottom w:type="dxa" w:w="60"/>
              <w:right w:type="dxa" w:w="100"/>
            </w:tcMar>
          </w:tcPr>
          <w:p>
            <w:pPr>
              <w:jc w:val="center"/>
            </w:pPr>
            <w:r>
              <w:rPr>
                <w:b w:val="false"/>
                <w:bCs w:val="false"/>
                <w:sz w:val="18"/>
                <w:szCs w:val="18"/>
              </w:rPr>
              <w:t xml:space="preserve">71.0  (≈141 effective issuers)</w:t>
            </w:r>
          </w:p>
        </w:tc>
      </w:tr>
      <w:tr>
        <w:tc>
          <w:tcPr>
            <w:tcW w:type="dxa" w:w="4600"/>
            <w:shd w:fill="F2F2F2" w:val="clear"/>
            <w:tcMar>
              <w:top w:type="dxa" w:w="60"/>
              <w:left w:type="dxa" w:w="100"/>
              <w:bottom w:type="dxa" w:w="60"/>
              <w:right w:type="dxa" w:w="100"/>
            </w:tcMar>
          </w:tcPr>
          <w:p>
            <w:pPr>
              <w:jc w:val="left"/>
            </w:pPr>
            <w:r>
              <w:rPr>
                <w:b w:val="false"/>
                <w:bCs w:val="false"/>
                <w:sz w:val="18"/>
                <w:szCs w:val="18"/>
              </w:rPr>
              <w:t xml:space="preserve">Rating (A-or-better / BBB / Unknown)</w:t>
            </w:r>
          </w:p>
        </w:tc>
        <w:tc>
          <w:tcPr>
            <w:tcW w:type="dxa" w:w="5100"/>
            <w:shd w:fill="F2F2F2" w:val="clear"/>
            <w:tcMar>
              <w:top w:type="dxa" w:w="60"/>
              <w:left w:type="dxa" w:w="100"/>
              <w:bottom w:type="dxa" w:w="60"/>
              <w:right w:type="dxa" w:w="100"/>
            </w:tcMar>
          </w:tcPr>
          <w:p>
            <w:pPr>
              <w:jc w:val="center"/>
            </w:pPr>
            <w:r>
              <w:rPr>
                <w:b w:val="false"/>
                <w:bCs w:val="false"/>
                <w:sz w:val="18"/>
                <w:szCs w:val="18"/>
              </w:rPr>
              <w:t xml:space="preserve">59.6% / 37.6% / 2.8%</w:t>
            </w:r>
          </w:p>
        </w:tc>
      </w:tr>
    </w:tbl>
    <w:p>
      <w:pPr>
        <w:spacing w:after="200"/>
      </w:pPr>
    </w:p>
    <w:p>
      <w:pPr>
        <w:spacing w:after="160"/>
      </w:pPr>
      <w:r>
        <w:t xml:space="preserve">Sanity check: these figures track closely with iShares’ own reported portfolio characteristics (~7.88yr duration, ~12.94yr average maturity as of a slightly earlier date), supporting the correctness of the parsing and aggregation.</w:t>
      </w:r>
    </w:p>
    <w:p>
      <w:pPr>
        <w:pStyle w:val="Heading1"/>
        <w:spacing w:after="160" w:before="320"/>
      </w:pPr>
      <w:r>
        <w:t xml:space="preserve">4. Step 2: Portfolio Sampling</w:t>
      </w:r>
    </w:p>
    <w:p>
      <w:pPr>
        <w:spacing w:after="160"/>
      </w:pPr>
      <w:r>
        <w:t xml:space="preserve">Reduced portfolios of N = 25, 50, 100, and 200 bonds were constructed using three methods, each evaluated against the Step 1 benchmark targets (sector allocation, maturity profile, rating distribution, duration, and yield).</w:t>
      </w:r>
    </w:p>
    <w:p>
      <w:pPr>
        <w:pStyle w:val="Heading2"/>
        <w:spacing w:after="120" w:before="240"/>
      </w:pPr>
      <w:r>
        <w:t xml:space="preserve">4.1 Method 1 — Largest Holdings</w:t>
      </w:r>
    </w:p>
    <w:p>
      <w:pPr>
        <w:spacing w:after="160"/>
      </w:pPr>
      <w:r>
        <w:t xml:space="preserve">Selects the top N bonds by benchmark weight, reweighted proportionally to sum to 100%. Simplest method; used as a baseline.</w:t>
      </w:r>
    </w:p>
    <w:p>
      <w:pPr>
        <w:pStyle w:val="Heading2"/>
        <w:spacing w:after="120" w:before="240"/>
      </w:pPr>
      <w:r>
        <w:t xml:space="preserve">4.2 Method 2 — Stratified Sampling</w:t>
      </w:r>
    </w:p>
    <w:p>
      <w:pPr>
        <w:spacing w:after="160"/>
      </w:pPr>
      <w:r>
        <w:t xml:space="preserve">Strata are defined as Sector × Rating Bucket × Maturity Bucket. Holdings are allocated across strata proportional to benchmark weight (largest-remainder rounding), the largest bonds within each stratum are selected, and each selected bond is reweighted so its stratum retains the benchmark’s exact stratum weight.</w:t>
      </w:r>
    </w:p>
    <w:p>
      <w:pPr>
        <w:pStyle w:val="Heading2"/>
        <w:spacing w:after="120" w:before="240"/>
      </w:pPr>
      <w:r>
        <w:t xml:space="preserve">4.3 Method 3 — Optimization-Based Sampling</w:t>
      </w:r>
    </w:p>
    <w:p>
      <w:pPr>
        <w:spacing w:after="160"/>
      </w:pPr>
      <w:r>
        <w:t xml:space="preserve">A quadratic program minimizes a weighted sum of squared deviations across sector weights, maturity-bucket weights, rating weights, duration, and yield from the benchmark, subject to: fully invested (weights sum to 1), long-only, a per-issuer concentration cap (3%, relaxed only when a small candidate set makes 3% infeasible), and a per-position cap/floor that guarantees exactly N holdings are used.</w:t>
      </w:r>
    </w:p>
    <w:p>
      <w:pPr>
        <w:spacing w:after="160"/>
      </w:pPr>
      <w:r>
        <w:t xml:space="preserve">Cardinality (exactly N holdings) makes this a mixed-integer problem in principle, which is intractable to solve exactly across 3,143 bonds. A standard relax-and-round heuristic is used instead: an iteratively reweighted-L1 penalty (Candès, Wakin &amp; Boyd, 2008) is applied over a diverse stratified candidate universe (3×N bonds) to induce sparsity, the top N candidates by resulting weight are retained, and a final QP is solved on exactly that support.</w:t>
      </w:r>
    </w:p>
    <w:p>
      <w:pPr>
        <w:pStyle w:val="Heading2"/>
        <w:spacing w:after="120" w:before="240"/>
      </w:pPr>
      <w:r>
        <w:t xml:space="preserve">4.4 Results</w:t>
      </w:r>
    </w:p>
    <w:tbl>
      <w:tblPr>
        <w:tblW w:type="dxa" w:w="10700"/>
        <w:tblBorders>
          <w:top w:val="single" w:color="auto" w:sz="4"/>
          <w:left w:val="single" w:color="auto" w:sz="4"/>
          <w:bottom w:val="single" w:color="auto" w:sz="4"/>
          <w:right w:val="single" w:color="auto" w:sz="4"/>
          <w:insideH w:val="single" w:color="auto" w:sz="4"/>
          <w:insideV w:val="single" w:color="auto" w:sz="4"/>
        </w:tblBorders>
      </w:tblPr>
      <w:tblGrid>
        <w:gridCol w:w="1900"/>
        <w:gridCol w:w="700"/>
        <w:gridCol w:w="1400"/>
        <w:gridCol w:w="1500"/>
        <w:gridCol w:w="1300"/>
        <w:gridCol w:w="1200"/>
        <w:gridCol w:w="1100"/>
        <w:gridCol w:w="1600"/>
      </w:tblGrid>
      <w:tr>
        <w:tc>
          <w:tcPr>
            <w:tcW w:type="dxa" w:w="1900"/>
            <w:shd w:fill="1F3864" w:val="clear"/>
            <w:tcMar>
              <w:top w:type="dxa" w:w="60"/>
              <w:left w:type="dxa" w:w="100"/>
              <w:bottom w:type="dxa" w:w="60"/>
              <w:right w:type="dxa" w:w="100"/>
            </w:tcMar>
          </w:tcPr>
          <w:p>
            <w:pPr>
              <w:jc w:val="center"/>
            </w:pPr>
            <w:r>
              <w:rPr>
                <w:b/>
                <w:bCs/>
                <w:color w:val="FFFFFF"/>
                <w:sz w:val="18"/>
                <w:szCs w:val="18"/>
              </w:rPr>
              <w:t xml:space="preserve">Method</w:t>
            </w:r>
          </w:p>
        </w:tc>
        <w:tc>
          <w:tcPr>
            <w:tcW w:type="dxa" w:w="700"/>
            <w:shd w:fill="1F3864" w:val="clear"/>
            <w:tcMar>
              <w:top w:type="dxa" w:w="60"/>
              <w:left w:type="dxa" w:w="100"/>
              <w:bottom w:type="dxa" w:w="60"/>
              <w:right w:type="dxa" w:w="100"/>
            </w:tcMar>
          </w:tcPr>
          <w:p>
            <w:pPr>
              <w:jc w:val="center"/>
            </w:pPr>
            <w:r>
              <w:rPr>
                <w:b/>
                <w:bCs/>
                <w:color w:val="FFFFFF"/>
                <w:sz w:val="18"/>
                <w:szCs w:val="18"/>
              </w:rPr>
              <w:t xml:space="preserve">N</w:t>
            </w:r>
          </w:p>
        </w:tc>
        <w:tc>
          <w:tcPr>
            <w:tcW w:type="dxa" w:w="1400"/>
            <w:shd w:fill="1F3864" w:val="clear"/>
            <w:tcMar>
              <w:top w:type="dxa" w:w="60"/>
              <w:left w:type="dxa" w:w="100"/>
              <w:bottom w:type="dxa" w:w="60"/>
              <w:right w:type="dxa" w:w="100"/>
            </w:tcMar>
          </w:tcPr>
          <w:p>
            <w:pPr>
              <w:jc w:val="center"/>
            </w:pPr>
            <w:r>
              <w:rPr>
                <w:b/>
                <w:bCs/>
                <w:color w:val="FFFFFF"/>
                <w:sz w:val="18"/>
                <w:szCs w:val="18"/>
              </w:rPr>
              <w:t xml:space="preserve">Sector dev. (%)</w:t>
            </w:r>
          </w:p>
        </w:tc>
        <w:tc>
          <w:tcPr>
            <w:tcW w:type="dxa" w:w="1500"/>
            <w:shd w:fill="1F3864" w:val="clear"/>
            <w:tcMar>
              <w:top w:type="dxa" w:w="60"/>
              <w:left w:type="dxa" w:w="100"/>
              <w:bottom w:type="dxa" w:w="60"/>
              <w:right w:type="dxa" w:w="100"/>
            </w:tcMar>
          </w:tcPr>
          <w:p>
            <w:pPr>
              <w:jc w:val="center"/>
            </w:pPr>
            <w:r>
              <w:rPr>
                <w:b/>
                <w:bCs/>
                <w:color w:val="FFFFFF"/>
                <w:sz w:val="18"/>
                <w:szCs w:val="18"/>
              </w:rPr>
              <w:t xml:space="preserve">Maturity dev. (%)</w:t>
            </w:r>
          </w:p>
        </w:tc>
        <w:tc>
          <w:tcPr>
            <w:tcW w:type="dxa" w:w="1300"/>
            <w:shd w:fill="1F3864" w:val="clear"/>
            <w:tcMar>
              <w:top w:type="dxa" w:w="60"/>
              <w:left w:type="dxa" w:w="100"/>
              <w:bottom w:type="dxa" w:w="60"/>
              <w:right w:type="dxa" w:w="100"/>
            </w:tcMar>
          </w:tcPr>
          <w:p>
            <w:pPr>
              <w:jc w:val="center"/>
            </w:pPr>
            <w:r>
              <w:rPr>
                <w:b/>
                <w:bCs/>
                <w:color w:val="FFFFFF"/>
                <w:sz w:val="18"/>
                <w:szCs w:val="18"/>
              </w:rPr>
              <w:t xml:space="preserve">Rating dev. (%)</w:t>
            </w:r>
          </w:p>
        </w:tc>
        <w:tc>
          <w:tcPr>
            <w:tcW w:type="dxa" w:w="1200"/>
            <w:shd w:fill="1F3864" w:val="clear"/>
            <w:tcMar>
              <w:top w:type="dxa" w:w="60"/>
              <w:left w:type="dxa" w:w="100"/>
              <w:bottom w:type="dxa" w:w="60"/>
              <w:right w:type="dxa" w:w="100"/>
            </w:tcMar>
          </w:tcPr>
          <w:p>
            <w:pPr>
              <w:jc w:val="center"/>
            </w:pPr>
            <w:r>
              <w:rPr>
                <w:b/>
                <w:bCs/>
                <w:color w:val="FFFFFF"/>
                <w:sz w:val="18"/>
                <w:szCs w:val="18"/>
              </w:rPr>
              <w:t xml:space="preserve">Duration</w:t>
            </w:r>
          </w:p>
        </w:tc>
        <w:tc>
          <w:tcPr>
            <w:tcW w:type="dxa" w:w="1100"/>
            <w:shd w:fill="1F3864" w:val="clear"/>
            <w:tcMar>
              <w:top w:type="dxa" w:w="60"/>
              <w:left w:type="dxa" w:w="100"/>
              <w:bottom w:type="dxa" w:w="60"/>
              <w:right w:type="dxa" w:w="100"/>
            </w:tcMar>
          </w:tcPr>
          <w:p>
            <w:pPr>
              <w:jc w:val="center"/>
            </w:pPr>
            <w:r>
              <w:rPr>
                <w:b/>
                <w:bCs/>
                <w:color w:val="FFFFFF"/>
                <w:sz w:val="18"/>
                <w:szCs w:val="18"/>
              </w:rPr>
              <w:t xml:space="preserve">YTM (%)</w:t>
            </w:r>
          </w:p>
        </w:tc>
        <w:tc>
          <w:tcPr>
            <w:tcW w:type="dxa" w:w="1600"/>
            <w:shd w:fill="1F3864" w:val="clear"/>
            <w:tcMar>
              <w:top w:type="dxa" w:w="60"/>
              <w:left w:type="dxa" w:w="100"/>
              <w:bottom w:type="dxa" w:w="60"/>
              <w:right w:type="dxa" w:w="100"/>
            </w:tcMar>
          </w:tcPr>
          <w:p>
            <w:pPr>
              <w:jc w:val="center"/>
            </w:pPr>
            <w:r>
              <w:rPr>
                <w:b/>
                <w:bCs/>
                <w:color w:val="FFFFFF"/>
                <w:sz w:val="18"/>
                <w:szCs w:val="18"/>
              </w:rPr>
              <w:t xml:space="preserve">Top-10 issuer (%)</w:t>
            </w:r>
          </w:p>
        </w:tc>
      </w:tr>
      <w:tr>
        <w:tc>
          <w:tcPr>
            <w:tcW w:type="dxa" w:w="1900"/>
            <w:tcMar>
              <w:top w:type="dxa" w:w="60"/>
              <w:left w:type="dxa" w:w="100"/>
              <w:bottom w:type="dxa" w:w="60"/>
              <w:right w:type="dxa" w:w="100"/>
            </w:tcMar>
          </w:tcPr>
          <w:p>
            <w:pPr>
              <w:jc w:val="left"/>
            </w:pPr>
            <w:r>
              <w:rPr>
                <w:b w:val="false"/>
                <w:bCs w:val="false"/>
                <w:sz w:val="18"/>
                <w:szCs w:val="18"/>
              </w:rPr>
              <w:t xml:space="preserve">Largest Holdings</w:t>
            </w:r>
          </w:p>
        </w:tc>
        <w:tc>
          <w:tcPr>
            <w:tcW w:type="dxa" w:w="700"/>
            <w:tcMar>
              <w:top w:type="dxa" w:w="60"/>
              <w:left w:type="dxa" w:w="100"/>
              <w:bottom w:type="dxa" w:w="60"/>
              <w:right w:type="dxa" w:w="100"/>
            </w:tcMar>
          </w:tcPr>
          <w:p>
            <w:pPr>
              <w:jc w:val="center"/>
            </w:pPr>
            <w:r>
              <w:rPr>
                <w:b w:val="false"/>
                <w:bCs w:val="false"/>
                <w:sz w:val="18"/>
                <w:szCs w:val="18"/>
              </w:rPr>
              <w:t xml:space="preserve">25</w:t>
            </w:r>
          </w:p>
        </w:tc>
        <w:tc>
          <w:tcPr>
            <w:tcW w:type="dxa" w:w="1400"/>
            <w:tcMar>
              <w:top w:type="dxa" w:w="60"/>
              <w:left w:type="dxa" w:w="100"/>
              <w:bottom w:type="dxa" w:w="60"/>
              <w:right w:type="dxa" w:w="100"/>
            </w:tcMar>
          </w:tcPr>
          <w:p>
            <w:pPr>
              <w:jc w:val="center"/>
            </w:pPr>
            <w:r>
              <w:rPr>
                <w:b w:val="false"/>
                <w:bCs w:val="false"/>
                <w:sz w:val="18"/>
                <w:szCs w:val="18"/>
              </w:rPr>
              <w:t xml:space="preserve">62.24</w:t>
            </w:r>
          </w:p>
        </w:tc>
        <w:tc>
          <w:tcPr>
            <w:tcW w:type="dxa" w:w="1500"/>
            <w:tcMar>
              <w:top w:type="dxa" w:w="60"/>
              <w:left w:type="dxa" w:w="100"/>
              <w:bottom w:type="dxa" w:w="60"/>
              <w:right w:type="dxa" w:w="100"/>
            </w:tcMar>
          </w:tcPr>
          <w:p>
            <w:pPr>
              <w:jc w:val="center"/>
            </w:pPr>
            <w:r>
              <w:rPr>
                <w:b w:val="false"/>
                <w:bCs w:val="false"/>
                <w:sz w:val="18"/>
                <w:szCs w:val="18"/>
              </w:rPr>
              <w:t xml:space="preserve">55.64</w:t>
            </w:r>
          </w:p>
        </w:tc>
        <w:tc>
          <w:tcPr>
            <w:tcW w:type="dxa" w:w="1300"/>
            <w:tcMar>
              <w:top w:type="dxa" w:w="60"/>
              <w:left w:type="dxa" w:w="100"/>
              <w:bottom w:type="dxa" w:w="60"/>
              <w:right w:type="dxa" w:w="100"/>
            </w:tcMar>
          </w:tcPr>
          <w:p>
            <w:pPr>
              <w:jc w:val="center"/>
            </w:pPr>
            <w:r>
              <w:rPr>
                <w:b w:val="false"/>
                <w:bCs w:val="false"/>
                <w:sz w:val="18"/>
                <w:szCs w:val="18"/>
              </w:rPr>
              <w:t xml:space="preserve">7.77</w:t>
            </w:r>
          </w:p>
        </w:tc>
        <w:tc>
          <w:tcPr>
            <w:tcW w:type="dxa" w:w="1200"/>
            <w:tcMar>
              <w:top w:type="dxa" w:w="60"/>
              <w:left w:type="dxa" w:w="100"/>
              <w:bottom w:type="dxa" w:w="60"/>
              <w:right w:type="dxa" w:w="100"/>
            </w:tcMar>
          </w:tcPr>
          <w:p>
            <w:pPr>
              <w:jc w:val="center"/>
            </w:pPr>
            <w:r>
              <w:rPr>
                <w:b w:val="false"/>
                <w:bCs w:val="false"/>
                <w:sz w:val="18"/>
                <w:szCs w:val="18"/>
              </w:rPr>
              <w:t xml:space="preserve">8.83</w:t>
            </w:r>
          </w:p>
        </w:tc>
        <w:tc>
          <w:tcPr>
            <w:tcW w:type="dxa" w:w="1100"/>
            <w:tcMar>
              <w:top w:type="dxa" w:w="60"/>
              <w:left w:type="dxa" w:w="100"/>
              <w:bottom w:type="dxa" w:w="60"/>
              <w:right w:type="dxa" w:w="100"/>
            </w:tcMar>
          </w:tcPr>
          <w:p>
            <w:pPr>
              <w:jc w:val="center"/>
            </w:pPr>
            <w:r>
              <w:rPr>
                <w:b w:val="false"/>
                <w:bCs w:val="false"/>
                <w:sz w:val="18"/>
                <w:szCs w:val="18"/>
              </w:rPr>
              <w:t xml:space="preserve">5.91</w:t>
            </w:r>
          </w:p>
        </w:tc>
        <w:tc>
          <w:tcPr>
            <w:tcW w:type="dxa" w:w="1600"/>
            <w:tcMar>
              <w:top w:type="dxa" w:w="60"/>
              <w:left w:type="dxa" w:w="100"/>
              <w:bottom w:type="dxa" w:w="60"/>
              <w:right w:type="dxa" w:w="100"/>
            </w:tcMar>
          </w:tcPr>
          <w:p>
            <w:pPr>
              <w:jc w:val="center"/>
            </w:pPr>
            <w:r>
              <w:rPr>
                <w:b w:val="false"/>
                <w:bCs w:val="false"/>
                <w:sz w:val="18"/>
                <w:szCs w:val="18"/>
              </w:rPr>
              <w:t xml:space="preserve">85.45</w:t>
            </w:r>
          </w:p>
        </w:tc>
      </w:tr>
      <w:tr>
        <w:tc>
          <w:tcPr>
            <w:tcW w:type="dxa" w:w="1900"/>
            <w:shd w:fill="F2F2F2" w:val="clear"/>
            <w:tcMar>
              <w:top w:type="dxa" w:w="60"/>
              <w:left w:type="dxa" w:w="100"/>
              <w:bottom w:type="dxa" w:w="60"/>
              <w:right w:type="dxa" w:w="100"/>
            </w:tcMar>
          </w:tcPr>
          <w:p>
            <w:pPr>
              <w:jc w:val="left"/>
            </w:pPr>
            <w:r>
              <w:rPr>
                <w:b w:val="false"/>
                <w:bCs w:val="false"/>
                <w:sz w:val="18"/>
                <w:szCs w:val="18"/>
              </w:rPr>
              <w:t xml:space="preserve">Largest Holdings</w:t>
            </w:r>
          </w:p>
        </w:tc>
        <w:tc>
          <w:tcPr>
            <w:tcW w:type="dxa" w:w="700"/>
            <w:shd w:fill="F2F2F2" w:val="clear"/>
            <w:tcMar>
              <w:top w:type="dxa" w:w="60"/>
              <w:left w:type="dxa" w:w="100"/>
              <w:bottom w:type="dxa" w:w="60"/>
              <w:right w:type="dxa" w:w="100"/>
            </w:tcMar>
          </w:tcPr>
          <w:p>
            <w:pPr>
              <w:jc w:val="center"/>
            </w:pPr>
            <w:r>
              <w:rPr>
                <w:b w:val="false"/>
                <w:bCs w:val="false"/>
                <w:sz w:val="18"/>
                <w:szCs w:val="18"/>
              </w:rPr>
              <w:t xml:space="preserve">50</w:t>
            </w:r>
          </w:p>
        </w:tc>
        <w:tc>
          <w:tcPr>
            <w:tcW w:type="dxa" w:w="1400"/>
            <w:shd w:fill="F2F2F2" w:val="clear"/>
            <w:tcMar>
              <w:top w:type="dxa" w:w="60"/>
              <w:left w:type="dxa" w:w="100"/>
              <w:bottom w:type="dxa" w:w="60"/>
              <w:right w:type="dxa" w:w="100"/>
            </w:tcMar>
          </w:tcPr>
          <w:p>
            <w:pPr>
              <w:jc w:val="center"/>
            </w:pPr>
            <w:r>
              <w:rPr>
                <w:b w:val="false"/>
                <w:bCs w:val="false"/>
                <w:sz w:val="18"/>
                <w:szCs w:val="18"/>
              </w:rPr>
              <w:t xml:space="preserve">58.08</w:t>
            </w:r>
          </w:p>
        </w:tc>
        <w:tc>
          <w:tcPr>
            <w:tcW w:type="dxa" w:w="1500"/>
            <w:shd w:fill="F2F2F2" w:val="clear"/>
            <w:tcMar>
              <w:top w:type="dxa" w:w="60"/>
              <w:left w:type="dxa" w:w="100"/>
              <w:bottom w:type="dxa" w:w="60"/>
              <w:right w:type="dxa" w:w="100"/>
            </w:tcMar>
          </w:tcPr>
          <w:p>
            <w:pPr>
              <w:jc w:val="center"/>
            </w:pPr>
            <w:r>
              <w:rPr>
                <w:b w:val="false"/>
                <w:bCs w:val="false"/>
                <w:sz w:val="18"/>
                <w:szCs w:val="18"/>
              </w:rPr>
              <w:t xml:space="preserve">27.46</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22.24</w:t>
            </w:r>
          </w:p>
        </w:tc>
        <w:tc>
          <w:tcPr>
            <w:tcW w:type="dxa" w:w="1200"/>
            <w:shd w:fill="F2F2F2" w:val="clear"/>
            <w:tcMar>
              <w:top w:type="dxa" w:w="60"/>
              <w:left w:type="dxa" w:w="100"/>
              <w:bottom w:type="dxa" w:w="60"/>
              <w:right w:type="dxa" w:w="100"/>
            </w:tcMar>
          </w:tcPr>
          <w:p>
            <w:pPr>
              <w:jc w:val="center"/>
            </w:pPr>
            <w:r>
              <w:rPr>
                <w:b w:val="false"/>
                <w:bCs w:val="false"/>
                <w:sz w:val="18"/>
                <w:szCs w:val="18"/>
              </w:rPr>
              <w:t xml:space="preserve">8.08</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5.79</w:t>
            </w:r>
          </w:p>
        </w:tc>
        <w:tc>
          <w:tcPr>
            <w:tcW w:type="dxa" w:w="1600"/>
            <w:shd w:fill="F2F2F2" w:val="clear"/>
            <w:tcMar>
              <w:top w:type="dxa" w:w="60"/>
              <w:left w:type="dxa" w:w="100"/>
              <w:bottom w:type="dxa" w:w="60"/>
              <w:right w:type="dxa" w:w="100"/>
            </w:tcMar>
          </w:tcPr>
          <w:p>
            <w:pPr>
              <w:jc w:val="center"/>
            </w:pPr>
            <w:r>
              <w:rPr>
                <w:b w:val="false"/>
                <w:bCs w:val="false"/>
                <w:sz w:val="18"/>
                <w:szCs w:val="18"/>
              </w:rPr>
              <w:t xml:space="preserve">62.96</w:t>
            </w:r>
          </w:p>
        </w:tc>
      </w:tr>
      <w:tr>
        <w:tc>
          <w:tcPr>
            <w:tcW w:type="dxa" w:w="1900"/>
            <w:tcMar>
              <w:top w:type="dxa" w:w="60"/>
              <w:left w:type="dxa" w:w="100"/>
              <w:bottom w:type="dxa" w:w="60"/>
              <w:right w:type="dxa" w:w="100"/>
            </w:tcMar>
          </w:tcPr>
          <w:p>
            <w:pPr>
              <w:jc w:val="left"/>
            </w:pPr>
            <w:r>
              <w:rPr>
                <w:b w:val="false"/>
                <w:bCs w:val="false"/>
                <w:sz w:val="18"/>
                <w:szCs w:val="18"/>
              </w:rPr>
              <w:t xml:space="preserve">Largest Holdings</w:t>
            </w:r>
          </w:p>
        </w:tc>
        <w:tc>
          <w:tcPr>
            <w:tcW w:type="dxa" w:w="700"/>
            <w:tcMar>
              <w:top w:type="dxa" w:w="60"/>
              <w:left w:type="dxa" w:w="100"/>
              <w:bottom w:type="dxa" w:w="60"/>
              <w:right w:type="dxa" w:w="100"/>
            </w:tcMar>
          </w:tcPr>
          <w:p>
            <w:pPr>
              <w:jc w:val="center"/>
            </w:pPr>
            <w:r>
              <w:rPr>
                <w:b w:val="false"/>
                <w:bCs w:val="false"/>
                <w:sz w:val="18"/>
                <w:szCs w:val="18"/>
              </w:rPr>
              <w:t xml:space="preserve">100</w:t>
            </w:r>
          </w:p>
        </w:tc>
        <w:tc>
          <w:tcPr>
            <w:tcW w:type="dxa" w:w="1400"/>
            <w:tcMar>
              <w:top w:type="dxa" w:w="60"/>
              <w:left w:type="dxa" w:w="100"/>
              <w:bottom w:type="dxa" w:w="60"/>
              <w:right w:type="dxa" w:w="100"/>
            </w:tcMar>
          </w:tcPr>
          <w:p>
            <w:pPr>
              <w:jc w:val="center"/>
            </w:pPr>
            <w:r>
              <w:rPr>
                <w:b w:val="false"/>
                <w:bCs w:val="false"/>
                <w:sz w:val="18"/>
                <w:szCs w:val="18"/>
              </w:rPr>
              <w:t xml:space="preserve">50.05</w:t>
            </w:r>
          </w:p>
        </w:tc>
        <w:tc>
          <w:tcPr>
            <w:tcW w:type="dxa" w:w="1500"/>
            <w:tcMar>
              <w:top w:type="dxa" w:w="60"/>
              <w:left w:type="dxa" w:w="100"/>
              <w:bottom w:type="dxa" w:w="60"/>
              <w:right w:type="dxa" w:w="100"/>
            </w:tcMar>
          </w:tcPr>
          <w:p>
            <w:pPr>
              <w:jc w:val="center"/>
            </w:pPr>
            <w:r>
              <w:rPr>
                <w:b w:val="false"/>
                <w:bCs w:val="false"/>
                <w:sz w:val="18"/>
                <w:szCs w:val="18"/>
              </w:rPr>
              <w:t xml:space="preserve">27.28</w:t>
            </w:r>
          </w:p>
        </w:tc>
        <w:tc>
          <w:tcPr>
            <w:tcW w:type="dxa" w:w="1300"/>
            <w:tcMar>
              <w:top w:type="dxa" w:w="60"/>
              <w:left w:type="dxa" w:w="100"/>
              <w:bottom w:type="dxa" w:w="60"/>
              <w:right w:type="dxa" w:w="100"/>
            </w:tcMar>
          </w:tcPr>
          <w:p>
            <w:pPr>
              <w:jc w:val="center"/>
            </w:pPr>
            <w:r>
              <w:rPr>
                <w:b w:val="false"/>
                <w:bCs w:val="false"/>
                <w:sz w:val="18"/>
                <w:szCs w:val="18"/>
              </w:rPr>
              <w:t xml:space="preserve">33.61</w:t>
            </w:r>
          </w:p>
        </w:tc>
        <w:tc>
          <w:tcPr>
            <w:tcW w:type="dxa" w:w="1200"/>
            <w:tcMar>
              <w:top w:type="dxa" w:w="60"/>
              <w:left w:type="dxa" w:w="100"/>
              <w:bottom w:type="dxa" w:w="60"/>
              <w:right w:type="dxa" w:w="100"/>
            </w:tcMar>
          </w:tcPr>
          <w:p>
            <w:pPr>
              <w:jc w:val="center"/>
            </w:pPr>
            <w:r>
              <w:rPr>
                <w:b w:val="false"/>
                <w:bCs w:val="false"/>
                <w:sz w:val="18"/>
                <w:szCs w:val="18"/>
              </w:rPr>
              <w:t xml:space="preserve">8.23</w:t>
            </w:r>
          </w:p>
        </w:tc>
        <w:tc>
          <w:tcPr>
            <w:tcW w:type="dxa" w:w="1100"/>
            <w:tcMar>
              <w:top w:type="dxa" w:w="60"/>
              <w:left w:type="dxa" w:w="100"/>
              <w:bottom w:type="dxa" w:w="60"/>
              <w:right w:type="dxa" w:w="100"/>
            </w:tcMar>
          </w:tcPr>
          <w:p>
            <w:pPr>
              <w:jc w:val="center"/>
            </w:pPr>
            <w:r>
              <w:rPr>
                <w:b w:val="false"/>
                <w:bCs w:val="false"/>
                <w:sz w:val="18"/>
                <w:szCs w:val="18"/>
              </w:rPr>
              <w:t xml:space="preserve">5.74</w:t>
            </w:r>
          </w:p>
        </w:tc>
        <w:tc>
          <w:tcPr>
            <w:tcW w:type="dxa" w:w="1600"/>
            <w:tcMar>
              <w:top w:type="dxa" w:w="60"/>
              <w:left w:type="dxa" w:w="100"/>
              <w:bottom w:type="dxa" w:w="60"/>
              <w:right w:type="dxa" w:w="100"/>
            </w:tcMar>
          </w:tcPr>
          <w:p>
            <w:pPr>
              <w:jc w:val="center"/>
            </w:pPr>
            <w:r>
              <w:rPr>
                <w:b w:val="false"/>
                <w:bCs w:val="false"/>
                <w:sz w:val="18"/>
                <w:szCs w:val="18"/>
              </w:rPr>
              <w:t xml:space="preserve">55.05</w:t>
            </w:r>
          </w:p>
        </w:tc>
      </w:tr>
      <w:tr>
        <w:tc>
          <w:tcPr>
            <w:tcW w:type="dxa" w:w="1900"/>
            <w:shd w:fill="F2F2F2" w:val="clear"/>
            <w:tcMar>
              <w:top w:type="dxa" w:w="60"/>
              <w:left w:type="dxa" w:w="100"/>
              <w:bottom w:type="dxa" w:w="60"/>
              <w:right w:type="dxa" w:w="100"/>
            </w:tcMar>
          </w:tcPr>
          <w:p>
            <w:pPr>
              <w:jc w:val="left"/>
            </w:pPr>
            <w:r>
              <w:rPr>
                <w:b w:val="false"/>
                <w:bCs w:val="false"/>
                <w:sz w:val="18"/>
                <w:szCs w:val="18"/>
              </w:rPr>
              <w:t xml:space="preserve">Largest Holdings</w:t>
            </w:r>
          </w:p>
        </w:tc>
        <w:tc>
          <w:tcPr>
            <w:tcW w:type="dxa" w:w="700"/>
            <w:shd w:fill="F2F2F2" w:val="clear"/>
            <w:tcMar>
              <w:top w:type="dxa" w:w="60"/>
              <w:left w:type="dxa" w:w="100"/>
              <w:bottom w:type="dxa" w:w="60"/>
              <w:right w:type="dxa" w:w="100"/>
            </w:tcMar>
          </w:tcPr>
          <w:p>
            <w:pPr>
              <w:jc w:val="center"/>
            </w:pPr>
            <w:r>
              <w:rPr>
                <w:b w:val="false"/>
                <w:bCs w:val="false"/>
                <w:sz w:val="18"/>
                <w:szCs w:val="18"/>
              </w:rPr>
              <w:t xml:space="preserve">200</w:t>
            </w:r>
          </w:p>
        </w:tc>
        <w:tc>
          <w:tcPr>
            <w:tcW w:type="dxa" w:w="1400"/>
            <w:shd w:fill="F2F2F2" w:val="clear"/>
            <w:tcMar>
              <w:top w:type="dxa" w:w="60"/>
              <w:left w:type="dxa" w:w="100"/>
              <w:bottom w:type="dxa" w:w="60"/>
              <w:right w:type="dxa" w:w="100"/>
            </w:tcMar>
          </w:tcPr>
          <w:p>
            <w:pPr>
              <w:jc w:val="center"/>
            </w:pPr>
            <w:r>
              <w:rPr>
                <w:b w:val="false"/>
                <w:bCs w:val="false"/>
                <w:sz w:val="18"/>
                <w:szCs w:val="18"/>
              </w:rPr>
              <w:t xml:space="preserve">59.60</w:t>
            </w:r>
          </w:p>
        </w:tc>
        <w:tc>
          <w:tcPr>
            <w:tcW w:type="dxa" w:w="1500"/>
            <w:shd w:fill="F2F2F2" w:val="clear"/>
            <w:tcMar>
              <w:top w:type="dxa" w:w="60"/>
              <w:left w:type="dxa" w:w="100"/>
              <w:bottom w:type="dxa" w:w="60"/>
              <w:right w:type="dxa" w:w="100"/>
            </w:tcMar>
          </w:tcPr>
          <w:p>
            <w:pPr>
              <w:jc w:val="center"/>
            </w:pPr>
            <w:r>
              <w:rPr>
                <w:b w:val="false"/>
                <w:bCs w:val="false"/>
                <w:sz w:val="18"/>
                <w:szCs w:val="18"/>
              </w:rPr>
              <w:t xml:space="preserve">22.91</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35.24</w:t>
            </w:r>
          </w:p>
        </w:tc>
        <w:tc>
          <w:tcPr>
            <w:tcW w:type="dxa" w:w="1200"/>
            <w:shd w:fill="F2F2F2" w:val="clear"/>
            <w:tcMar>
              <w:top w:type="dxa" w:w="60"/>
              <w:left w:type="dxa" w:w="100"/>
              <w:bottom w:type="dxa" w:w="60"/>
              <w:right w:type="dxa" w:w="100"/>
            </w:tcMar>
          </w:tcPr>
          <w:p>
            <w:pPr>
              <w:jc w:val="center"/>
            </w:pPr>
            <w:r>
              <w:rPr>
                <w:b w:val="false"/>
                <w:bCs w:val="false"/>
                <w:sz w:val="18"/>
                <w:szCs w:val="18"/>
              </w:rPr>
              <w:t xml:space="preserve">7.58</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5.66</w:t>
            </w:r>
          </w:p>
        </w:tc>
        <w:tc>
          <w:tcPr>
            <w:tcW w:type="dxa" w:w="1600"/>
            <w:shd w:fill="F2F2F2" w:val="clear"/>
            <w:tcMar>
              <w:top w:type="dxa" w:w="60"/>
              <w:left w:type="dxa" w:w="100"/>
              <w:bottom w:type="dxa" w:w="60"/>
              <w:right w:type="dxa" w:w="100"/>
            </w:tcMar>
          </w:tcPr>
          <w:p>
            <w:pPr>
              <w:jc w:val="center"/>
            </w:pPr>
            <w:r>
              <w:rPr>
                <w:b w:val="false"/>
                <w:bCs w:val="false"/>
                <w:sz w:val="18"/>
                <w:szCs w:val="18"/>
              </w:rPr>
              <w:t xml:space="preserve">55.34</w:t>
            </w:r>
          </w:p>
        </w:tc>
      </w:tr>
      <w:tr>
        <w:tc>
          <w:tcPr>
            <w:tcW w:type="dxa" w:w="1900"/>
            <w:tcMar>
              <w:top w:type="dxa" w:w="60"/>
              <w:left w:type="dxa" w:w="100"/>
              <w:bottom w:type="dxa" w:w="60"/>
              <w:right w:type="dxa" w:w="100"/>
            </w:tcMar>
          </w:tcPr>
          <w:p>
            <w:pPr>
              <w:jc w:val="left"/>
            </w:pPr>
            <w:r>
              <w:rPr>
                <w:b w:val="false"/>
                <w:bCs w:val="false"/>
                <w:sz w:val="18"/>
                <w:szCs w:val="18"/>
              </w:rPr>
              <w:t xml:space="preserve">Stratified</w:t>
            </w:r>
          </w:p>
        </w:tc>
        <w:tc>
          <w:tcPr>
            <w:tcW w:type="dxa" w:w="700"/>
            <w:tcMar>
              <w:top w:type="dxa" w:w="60"/>
              <w:left w:type="dxa" w:w="100"/>
              <w:bottom w:type="dxa" w:w="60"/>
              <w:right w:type="dxa" w:w="100"/>
            </w:tcMar>
          </w:tcPr>
          <w:p>
            <w:pPr>
              <w:jc w:val="center"/>
            </w:pPr>
            <w:r>
              <w:rPr>
                <w:b w:val="false"/>
                <w:bCs w:val="false"/>
                <w:sz w:val="18"/>
                <w:szCs w:val="18"/>
              </w:rPr>
              <w:t xml:space="preserve">25</w:t>
            </w:r>
          </w:p>
        </w:tc>
        <w:tc>
          <w:tcPr>
            <w:tcW w:type="dxa" w:w="1400"/>
            <w:tcMar>
              <w:top w:type="dxa" w:w="60"/>
              <w:left w:type="dxa" w:w="100"/>
              <w:bottom w:type="dxa" w:w="60"/>
              <w:right w:type="dxa" w:w="100"/>
            </w:tcMar>
          </w:tcPr>
          <w:p>
            <w:pPr>
              <w:jc w:val="center"/>
            </w:pPr>
            <w:r>
              <w:rPr>
                <w:b w:val="false"/>
                <w:bCs w:val="false"/>
                <w:sz w:val="18"/>
                <w:szCs w:val="18"/>
              </w:rPr>
              <w:t xml:space="preserve">65.79</w:t>
            </w:r>
          </w:p>
        </w:tc>
        <w:tc>
          <w:tcPr>
            <w:tcW w:type="dxa" w:w="1500"/>
            <w:tcMar>
              <w:top w:type="dxa" w:w="60"/>
              <w:left w:type="dxa" w:w="100"/>
              <w:bottom w:type="dxa" w:w="60"/>
              <w:right w:type="dxa" w:w="100"/>
            </w:tcMar>
          </w:tcPr>
          <w:p>
            <w:pPr>
              <w:jc w:val="center"/>
            </w:pPr>
            <w:r>
              <w:rPr>
                <w:b w:val="false"/>
                <w:bCs w:val="false"/>
                <w:sz w:val="18"/>
                <w:szCs w:val="18"/>
              </w:rPr>
              <w:t xml:space="preserve">14.12</w:t>
            </w:r>
          </w:p>
        </w:tc>
        <w:tc>
          <w:tcPr>
            <w:tcW w:type="dxa" w:w="1300"/>
            <w:tcMar>
              <w:top w:type="dxa" w:w="60"/>
              <w:left w:type="dxa" w:w="100"/>
              <w:bottom w:type="dxa" w:w="60"/>
              <w:right w:type="dxa" w:w="100"/>
            </w:tcMar>
          </w:tcPr>
          <w:p>
            <w:pPr>
              <w:jc w:val="center"/>
            </w:pPr>
            <w:r>
              <w:rPr>
                <w:b w:val="false"/>
                <w:bCs w:val="false"/>
                <w:sz w:val="18"/>
                <w:szCs w:val="18"/>
              </w:rPr>
              <w:t xml:space="preserve">34.73</w:t>
            </w:r>
          </w:p>
        </w:tc>
        <w:tc>
          <w:tcPr>
            <w:tcW w:type="dxa" w:w="1200"/>
            <w:tcMar>
              <w:top w:type="dxa" w:w="60"/>
              <w:left w:type="dxa" w:w="100"/>
              <w:bottom w:type="dxa" w:w="60"/>
              <w:right w:type="dxa" w:w="100"/>
            </w:tcMar>
          </w:tcPr>
          <w:p>
            <w:pPr>
              <w:jc w:val="center"/>
            </w:pPr>
            <w:r>
              <w:rPr>
                <w:b w:val="false"/>
                <w:bCs w:val="false"/>
                <w:sz w:val="18"/>
                <w:szCs w:val="18"/>
              </w:rPr>
              <w:t xml:space="preserve">7.46</w:t>
            </w:r>
          </w:p>
        </w:tc>
        <w:tc>
          <w:tcPr>
            <w:tcW w:type="dxa" w:w="1100"/>
            <w:tcMar>
              <w:top w:type="dxa" w:w="60"/>
              <w:left w:type="dxa" w:w="100"/>
              <w:bottom w:type="dxa" w:w="60"/>
              <w:right w:type="dxa" w:w="100"/>
            </w:tcMar>
          </w:tcPr>
          <w:p>
            <w:pPr>
              <w:jc w:val="center"/>
            </w:pPr>
            <w:r>
              <w:rPr>
                <w:b w:val="false"/>
                <w:bCs w:val="false"/>
                <w:sz w:val="18"/>
                <w:szCs w:val="18"/>
              </w:rPr>
              <w:t xml:space="preserve">5.66</w:t>
            </w:r>
          </w:p>
        </w:tc>
        <w:tc>
          <w:tcPr>
            <w:tcW w:type="dxa" w:w="1600"/>
            <w:tcMar>
              <w:top w:type="dxa" w:w="60"/>
              <w:left w:type="dxa" w:w="100"/>
              <w:bottom w:type="dxa" w:w="60"/>
              <w:right w:type="dxa" w:w="100"/>
            </w:tcMar>
          </w:tcPr>
          <w:p>
            <w:pPr>
              <w:jc w:val="center"/>
            </w:pPr>
            <w:r>
              <w:rPr>
                <w:b w:val="false"/>
                <w:bCs w:val="false"/>
                <w:sz w:val="18"/>
                <w:szCs w:val="18"/>
              </w:rPr>
              <w:t xml:space="preserve">70.39</w:t>
            </w:r>
          </w:p>
        </w:tc>
      </w:tr>
      <w:tr>
        <w:tc>
          <w:tcPr>
            <w:tcW w:type="dxa" w:w="1900"/>
            <w:shd w:fill="F2F2F2" w:val="clear"/>
            <w:tcMar>
              <w:top w:type="dxa" w:w="60"/>
              <w:left w:type="dxa" w:w="100"/>
              <w:bottom w:type="dxa" w:w="60"/>
              <w:right w:type="dxa" w:w="100"/>
            </w:tcMar>
          </w:tcPr>
          <w:p>
            <w:pPr>
              <w:jc w:val="left"/>
            </w:pPr>
            <w:r>
              <w:rPr>
                <w:b w:val="false"/>
                <w:bCs w:val="false"/>
                <w:sz w:val="18"/>
                <w:szCs w:val="18"/>
              </w:rPr>
              <w:t xml:space="preserve">Stratified</w:t>
            </w:r>
          </w:p>
        </w:tc>
        <w:tc>
          <w:tcPr>
            <w:tcW w:type="dxa" w:w="700"/>
            <w:shd w:fill="F2F2F2" w:val="clear"/>
            <w:tcMar>
              <w:top w:type="dxa" w:w="60"/>
              <w:left w:type="dxa" w:w="100"/>
              <w:bottom w:type="dxa" w:w="60"/>
              <w:right w:type="dxa" w:w="100"/>
            </w:tcMar>
          </w:tcPr>
          <w:p>
            <w:pPr>
              <w:jc w:val="center"/>
            </w:pPr>
            <w:r>
              <w:rPr>
                <w:b w:val="false"/>
                <w:bCs w:val="false"/>
                <w:sz w:val="18"/>
                <w:szCs w:val="18"/>
              </w:rPr>
              <w:t xml:space="preserve">50</w:t>
            </w:r>
          </w:p>
        </w:tc>
        <w:tc>
          <w:tcPr>
            <w:tcW w:type="dxa" w:w="1400"/>
            <w:shd w:fill="F2F2F2" w:val="clear"/>
            <w:tcMar>
              <w:top w:type="dxa" w:w="60"/>
              <w:left w:type="dxa" w:w="100"/>
              <w:bottom w:type="dxa" w:w="60"/>
              <w:right w:type="dxa" w:w="100"/>
            </w:tcMar>
          </w:tcPr>
          <w:p>
            <w:pPr>
              <w:jc w:val="center"/>
            </w:pPr>
            <w:r>
              <w:rPr>
                <w:b w:val="false"/>
                <w:bCs w:val="false"/>
                <w:sz w:val="18"/>
                <w:szCs w:val="18"/>
              </w:rPr>
              <w:t xml:space="preserve">33.52</w:t>
            </w:r>
          </w:p>
        </w:tc>
        <w:tc>
          <w:tcPr>
            <w:tcW w:type="dxa" w:w="1500"/>
            <w:shd w:fill="F2F2F2" w:val="clear"/>
            <w:tcMar>
              <w:top w:type="dxa" w:w="60"/>
              <w:left w:type="dxa" w:w="100"/>
              <w:bottom w:type="dxa" w:w="60"/>
              <w:right w:type="dxa" w:w="100"/>
            </w:tcMar>
          </w:tcPr>
          <w:p>
            <w:pPr>
              <w:jc w:val="center"/>
            </w:pPr>
            <w:r>
              <w:rPr>
                <w:b w:val="false"/>
                <w:bCs w:val="false"/>
                <w:sz w:val="18"/>
                <w:szCs w:val="18"/>
              </w:rPr>
              <w:t xml:space="preserve">13.12</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11.62</w:t>
            </w:r>
          </w:p>
        </w:tc>
        <w:tc>
          <w:tcPr>
            <w:tcW w:type="dxa" w:w="1200"/>
            <w:shd w:fill="F2F2F2" w:val="clear"/>
            <w:tcMar>
              <w:top w:type="dxa" w:w="60"/>
              <w:left w:type="dxa" w:w="100"/>
              <w:bottom w:type="dxa" w:w="60"/>
              <w:right w:type="dxa" w:w="100"/>
            </w:tcMar>
          </w:tcPr>
          <w:p>
            <w:pPr>
              <w:jc w:val="center"/>
            </w:pPr>
            <w:r>
              <w:rPr>
                <w:b w:val="false"/>
                <w:bCs w:val="false"/>
                <w:sz w:val="18"/>
                <w:szCs w:val="18"/>
              </w:rPr>
              <w:t xml:space="preserve">7.71</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5.71</w:t>
            </w:r>
          </w:p>
        </w:tc>
        <w:tc>
          <w:tcPr>
            <w:tcW w:type="dxa" w:w="1600"/>
            <w:shd w:fill="F2F2F2" w:val="clear"/>
            <w:tcMar>
              <w:top w:type="dxa" w:w="60"/>
              <w:left w:type="dxa" w:w="100"/>
              <w:bottom w:type="dxa" w:w="60"/>
              <w:right w:type="dxa" w:w="100"/>
            </w:tcMar>
          </w:tcPr>
          <w:p>
            <w:pPr>
              <w:jc w:val="center"/>
            </w:pPr>
            <w:r>
              <w:rPr>
                <w:b w:val="false"/>
                <w:bCs w:val="false"/>
                <w:sz w:val="18"/>
                <w:szCs w:val="18"/>
              </w:rPr>
              <w:t xml:space="preserve">49.65</w:t>
            </w:r>
          </w:p>
        </w:tc>
      </w:tr>
      <w:tr>
        <w:tc>
          <w:tcPr>
            <w:tcW w:type="dxa" w:w="1900"/>
            <w:tcMar>
              <w:top w:type="dxa" w:w="60"/>
              <w:left w:type="dxa" w:w="100"/>
              <w:bottom w:type="dxa" w:w="60"/>
              <w:right w:type="dxa" w:w="100"/>
            </w:tcMar>
          </w:tcPr>
          <w:p>
            <w:pPr>
              <w:jc w:val="left"/>
            </w:pPr>
            <w:r>
              <w:rPr>
                <w:b w:val="false"/>
                <w:bCs w:val="false"/>
                <w:sz w:val="18"/>
                <w:szCs w:val="18"/>
              </w:rPr>
              <w:t xml:space="preserve">Stratified</w:t>
            </w:r>
          </w:p>
        </w:tc>
        <w:tc>
          <w:tcPr>
            <w:tcW w:type="dxa" w:w="700"/>
            <w:tcMar>
              <w:top w:type="dxa" w:w="60"/>
              <w:left w:type="dxa" w:w="100"/>
              <w:bottom w:type="dxa" w:w="60"/>
              <w:right w:type="dxa" w:w="100"/>
            </w:tcMar>
          </w:tcPr>
          <w:p>
            <w:pPr>
              <w:jc w:val="center"/>
            </w:pPr>
            <w:r>
              <w:rPr>
                <w:b w:val="false"/>
                <w:bCs w:val="false"/>
                <w:sz w:val="18"/>
                <w:szCs w:val="18"/>
              </w:rPr>
              <w:t xml:space="preserve">100</w:t>
            </w:r>
          </w:p>
        </w:tc>
        <w:tc>
          <w:tcPr>
            <w:tcW w:type="dxa" w:w="1400"/>
            <w:tcMar>
              <w:top w:type="dxa" w:w="60"/>
              <w:left w:type="dxa" w:w="100"/>
              <w:bottom w:type="dxa" w:w="60"/>
              <w:right w:type="dxa" w:w="100"/>
            </w:tcMar>
          </w:tcPr>
          <w:p>
            <w:pPr>
              <w:jc w:val="center"/>
            </w:pPr>
            <w:r>
              <w:rPr>
                <w:b w:val="false"/>
                <w:bCs w:val="false"/>
                <w:sz w:val="18"/>
                <w:szCs w:val="18"/>
              </w:rPr>
              <w:t xml:space="preserve">15.59</w:t>
            </w:r>
          </w:p>
        </w:tc>
        <w:tc>
          <w:tcPr>
            <w:tcW w:type="dxa" w:w="1500"/>
            <w:tcMar>
              <w:top w:type="dxa" w:w="60"/>
              <w:left w:type="dxa" w:w="100"/>
              <w:bottom w:type="dxa" w:w="60"/>
              <w:right w:type="dxa" w:w="100"/>
            </w:tcMar>
          </w:tcPr>
          <w:p>
            <w:pPr>
              <w:jc w:val="center"/>
            </w:pPr>
            <w:r>
              <w:rPr>
                <w:b w:val="false"/>
                <w:bCs w:val="false"/>
                <w:sz w:val="18"/>
                <w:szCs w:val="18"/>
              </w:rPr>
              <w:t xml:space="preserve">7.53</w:t>
            </w:r>
          </w:p>
        </w:tc>
        <w:tc>
          <w:tcPr>
            <w:tcW w:type="dxa" w:w="1300"/>
            <w:tcMar>
              <w:top w:type="dxa" w:w="60"/>
              <w:left w:type="dxa" w:w="100"/>
              <w:bottom w:type="dxa" w:w="60"/>
              <w:right w:type="dxa" w:w="100"/>
            </w:tcMar>
          </w:tcPr>
          <w:p>
            <w:pPr>
              <w:jc w:val="center"/>
            </w:pPr>
            <w:r>
              <w:rPr>
                <w:b w:val="false"/>
                <w:bCs w:val="false"/>
                <w:sz w:val="18"/>
                <w:szCs w:val="18"/>
              </w:rPr>
              <w:t xml:space="preserve">4.71</w:t>
            </w:r>
          </w:p>
        </w:tc>
        <w:tc>
          <w:tcPr>
            <w:tcW w:type="dxa" w:w="1200"/>
            <w:tcMar>
              <w:top w:type="dxa" w:w="60"/>
              <w:left w:type="dxa" w:w="100"/>
              <w:bottom w:type="dxa" w:w="60"/>
              <w:right w:type="dxa" w:w="100"/>
            </w:tcMar>
          </w:tcPr>
          <w:p>
            <w:pPr>
              <w:jc w:val="center"/>
            </w:pPr>
            <w:r>
              <w:rPr>
                <w:b w:val="false"/>
                <w:bCs w:val="false"/>
                <w:sz w:val="18"/>
                <w:szCs w:val="18"/>
              </w:rPr>
              <w:t xml:space="preserve">7.77</w:t>
            </w:r>
          </w:p>
        </w:tc>
        <w:tc>
          <w:tcPr>
            <w:tcW w:type="dxa" w:w="1100"/>
            <w:tcMar>
              <w:top w:type="dxa" w:w="60"/>
              <w:left w:type="dxa" w:w="100"/>
              <w:bottom w:type="dxa" w:w="60"/>
              <w:right w:type="dxa" w:w="100"/>
            </w:tcMar>
          </w:tcPr>
          <w:p>
            <w:pPr>
              <w:jc w:val="center"/>
            </w:pPr>
            <w:r>
              <w:rPr>
                <w:b w:val="false"/>
                <w:bCs w:val="false"/>
                <w:sz w:val="18"/>
                <w:szCs w:val="18"/>
              </w:rPr>
              <w:t xml:space="preserve">5.70</w:t>
            </w:r>
          </w:p>
        </w:tc>
        <w:tc>
          <w:tcPr>
            <w:tcW w:type="dxa" w:w="1600"/>
            <w:tcMar>
              <w:top w:type="dxa" w:w="60"/>
              <w:left w:type="dxa" w:w="100"/>
              <w:bottom w:type="dxa" w:w="60"/>
              <w:right w:type="dxa" w:w="100"/>
            </w:tcMar>
          </w:tcPr>
          <w:p>
            <w:pPr>
              <w:jc w:val="center"/>
            </w:pPr>
            <w:r>
              <w:rPr>
                <w:b w:val="false"/>
                <w:bCs w:val="false"/>
                <w:sz w:val="18"/>
                <w:szCs w:val="18"/>
              </w:rPr>
              <w:t xml:space="preserve">41.05</w:t>
            </w:r>
          </w:p>
        </w:tc>
      </w:tr>
      <w:tr>
        <w:tc>
          <w:tcPr>
            <w:tcW w:type="dxa" w:w="1900"/>
            <w:shd w:fill="F2F2F2" w:val="clear"/>
            <w:tcMar>
              <w:top w:type="dxa" w:w="60"/>
              <w:left w:type="dxa" w:w="100"/>
              <w:bottom w:type="dxa" w:w="60"/>
              <w:right w:type="dxa" w:w="100"/>
            </w:tcMar>
          </w:tcPr>
          <w:p>
            <w:pPr>
              <w:jc w:val="left"/>
            </w:pPr>
            <w:r>
              <w:rPr>
                <w:b w:val="false"/>
                <w:bCs w:val="false"/>
                <w:sz w:val="18"/>
                <w:szCs w:val="18"/>
              </w:rPr>
              <w:t xml:space="preserve">Stratified</w:t>
            </w:r>
          </w:p>
        </w:tc>
        <w:tc>
          <w:tcPr>
            <w:tcW w:type="dxa" w:w="700"/>
            <w:shd w:fill="F2F2F2" w:val="clear"/>
            <w:tcMar>
              <w:top w:type="dxa" w:w="60"/>
              <w:left w:type="dxa" w:w="100"/>
              <w:bottom w:type="dxa" w:w="60"/>
              <w:right w:type="dxa" w:w="100"/>
            </w:tcMar>
          </w:tcPr>
          <w:p>
            <w:pPr>
              <w:jc w:val="center"/>
            </w:pPr>
            <w:r>
              <w:rPr>
                <w:b w:val="false"/>
                <w:bCs w:val="false"/>
                <w:sz w:val="18"/>
                <w:szCs w:val="18"/>
              </w:rPr>
              <w:t xml:space="preserve">200</w:t>
            </w:r>
          </w:p>
        </w:tc>
        <w:tc>
          <w:tcPr>
            <w:tcW w:type="dxa" w:w="1400"/>
            <w:shd w:fill="F2F2F2" w:val="clear"/>
            <w:tcMar>
              <w:top w:type="dxa" w:w="60"/>
              <w:left w:type="dxa" w:w="100"/>
              <w:bottom w:type="dxa" w:w="60"/>
              <w:right w:type="dxa" w:w="100"/>
            </w:tcMar>
          </w:tcPr>
          <w:p>
            <w:pPr>
              <w:jc w:val="center"/>
            </w:pPr>
            <w:r>
              <w:rPr>
                <w:b w:val="false"/>
                <w:bCs w:val="false"/>
                <w:sz w:val="18"/>
                <w:szCs w:val="18"/>
              </w:rPr>
              <w:t xml:space="preserve">11.38</w:t>
            </w:r>
          </w:p>
        </w:tc>
        <w:tc>
          <w:tcPr>
            <w:tcW w:type="dxa" w:w="1500"/>
            <w:shd w:fill="F2F2F2" w:val="clear"/>
            <w:tcMar>
              <w:top w:type="dxa" w:w="60"/>
              <w:left w:type="dxa" w:w="100"/>
              <w:bottom w:type="dxa" w:w="60"/>
              <w:right w:type="dxa" w:w="100"/>
            </w:tcMar>
          </w:tcPr>
          <w:p>
            <w:pPr>
              <w:jc w:val="center"/>
            </w:pPr>
            <w:r>
              <w:rPr>
                <w:b w:val="false"/>
                <w:bCs w:val="false"/>
                <w:sz w:val="18"/>
                <w:szCs w:val="18"/>
              </w:rPr>
              <w:t xml:space="preserve">2.64</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4.65</w:t>
            </w:r>
          </w:p>
        </w:tc>
        <w:tc>
          <w:tcPr>
            <w:tcW w:type="dxa" w:w="1200"/>
            <w:shd w:fill="F2F2F2" w:val="clear"/>
            <w:tcMar>
              <w:top w:type="dxa" w:w="60"/>
              <w:left w:type="dxa" w:w="100"/>
              <w:bottom w:type="dxa" w:w="60"/>
              <w:right w:type="dxa" w:w="100"/>
            </w:tcMar>
          </w:tcPr>
          <w:p>
            <w:pPr>
              <w:jc w:val="center"/>
            </w:pPr>
            <w:r>
              <w:rPr>
                <w:b w:val="false"/>
                <w:bCs w:val="false"/>
                <w:sz w:val="18"/>
                <w:szCs w:val="18"/>
              </w:rPr>
              <w:t xml:space="preserve">7.80</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5.69</w:t>
            </w:r>
          </w:p>
        </w:tc>
        <w:tc>
          <w:tcPr>
            <w:tcW w:type="dxa" w:w="1600"/>
            <w:shd w:fill="F2F2F2" w:val="clear"/>
            <w:tcMar>
              <w:top w:type="dxa" w:w="60"/>
              <w:left w:type="dxa" w:w="100"/>
              <w:bottom w:type="dxa" w:w="60"/>
              <w:right w:type="dxa" w:w="100"/>
            </w:tcMar>
          </w:tcPr>
          <w:p>
            <w:pPr>
              <w:jc w:val="center"/>
            </w:pPr>
            <w:r>
              <w:rPr>
                <w:b w:val="false"/>
                <w:bCs w:val="false"/>
                <w:sz w:val="18"/>
                <w:szCs w:val="18"/>
              </w:rPr>
              <w:t xml:space="preserve">37.09</w:t>
            </w:r>
          </w:p>
        </w:tc>
      </w:tr>
      <w:tr>
        <w:tc>
          <w:tcPr>
            <w:tcW w:type="dxa" w:w="1900"/>
            <w:tcMar>
              <w:top w:type="dxa" w:w="60"/>
              <w:left w:type="dxa" w:w="100"/>
              <w:bottom w:type="dxa" w:w="60"/>
              <w:right w:type="dxa" w:w="100"/>
            </w:tcMar>
          </w:tcPr>
          <w:p>
            <w:pPr>
              <w:jc w:val="left"/>
            </w:pPr>
            <w:r>
              <w:rPr>
                <w:b w:val="false"/>
                <w:bCs w:val="false"/>
                <w:sz w:val="18"/>
                <w:szCs w:val="18"/>
              </w:rPr>
              <w:t xml:space="preserve">Optimization</w:t>
            </w:r>
          </w:p>
        </w:tc>
        <w:tc>
          <w:tcPr>
            <w:tcW w:type="dxa" w:w="700"/>
            <w:tcMar>
              <w:top w:type="dxa" w:w="60"/>
              <w:left w:type="dxa" w:w="100"/>
              <w:bottom w:type="dxa" w:w="60"/>
              <w:right w:type="dxa" w:w="100"/>
            </w:tcMar>
          </w:tcPr>
          <w:p>
            <w:pPr>
              <w:jc w:val="center"/>
            </w:pPr>
            <w:r>
              <w:rPr>
                <w:b w:val="false"/>
                <w:bCs w:val="false"/>
                <w:sz w:val="18"/>
                <w:szCs w:val="18"/>
              </w:rPr>
              <w:t xml:space="preserve">25*</w:t>
            </w:r>
          </w:p>
        </w:tc>
        <w:tc>
          <w:tcPr>
            <w:tcW w:type="dxa" w:w="1400"/>
            <w:tcMar>
              <w:top w:type="dxa" w:w="60"/>
              <w:left w:type="dxa" w:w="100"/>
              <w:bottom w:type="dxa" w:w="60"/>
              <w:right w:type="dxa" w:w="100"/>
            </w:tcMar>
          </w:tcPr>
          <w:p>
            <w:pPr>
              <w:jc w:val="center"/>
            </w:pPr>
            <w:r>
              <w:rPr>
                <w:b w:val="false"/>
                <w:bCs w:val="false"/>
                <w:sz w:val="18"/>
                <w:szCs w:val="18"/>
              </w:rPr>
              <w:t xml:space="preserve">25.34</w:t>
            </w:r>
          </w:p>
        </w:tc>
        <w:tc>
          <w:tcPr>
            <w:tcW w:type="dxa" w:w="1500"/>
            <w:tcMar>
              <w:top w:type="dxa" w:w="60"/>
              <w:left w:type="dxa" w:w="100"/>
              <w:bottom w:type="dxa" w:w="60"/>
              <w:right w:type="dxa" w:w="100"/>
            </w:tcMar>
          </w:tcPr>
          <w:p>
            <w:pPr>
              <w:jc w:val="center"/>
            </w:pPr>
            <w:r>
              <w:rPr>
                <w:b w:val="false"/>
                <w:bCs w:val="false"/>
                <w:sz w:val="18"/>
                <w:szCs w:val="18"/>
              </w:rPr>
              <w:t xml:space="preserve">21.71</w:t>
            </w:r>
          </w:p>
        </w:tc>
        <w:tc>
          <w:tcPr>
            <w:tcW w:type="dxa" w:w="1300"/>
            <w:tcMar>
              <w:top w:type="dxa" w:w="60"/>
              <w:left w:type="dxa" w:w="100"/>
              <w:bottom w:type="dxa" w:w="60"/>
              <w:right w:type="dxa" w:w="100"/>
            </w:tcMar>
          </w:tcPr>
          <w:p>
            <w:pPr>
              <w:jc w:val="center"/>
            </w:pPr>
            <w:r>
              <w:rPr>
                <w:b w:val="false"/>
                <w:bCs w:val="false"/>
                <w:sz w:val="18"/>
                <w:szCs w:val="18"/>
              </w:rPr>
              <w:t xml:space="preserve">20.74</w:t>
            </w:r>
          </w:p>
        </w:tc>
        <w:tc>
          <w:tcPr>
            <w:tcW w:type="dxa" w:w="1200"/>
            <w:tcMar>
              <w:top w:type="dxa" w:w="60"/>
              <w:left w:type="dxa" w:w="100"/>
              <w:bottom w:type="dxa" w:w="60"/>
              <w:right w:type="dxa" w:w="100"/>
            </w:tcMar>
          </w:tcPr>
          <w:p>
            <w:pPr>
              <w:jc w:val="center"/>
            </w:pPr>
            <w:r>
              <w:rPr>
                <w:b w:val="false"/>
                <w:bCs w:val="false"/>
                <w:sz w:val="18"/>
                <w:szCs w:val="18"/>
              </w:rPr>
              <w:t xml:space="preserve">7.54</w:t>
            </w:r>
          </w:p>
        </w:tc>
        <w:tc>
          <w:tcPr>
            <w:tcW w:type="dxa" w:w="1100"/>
            <w:tcMar>
              <w:top w:type="dxa" w:w="60"/>
              <w:left w:type="dxa" w:w="100"/>
              <w:bottom w:type="dxa" w:w="60"/>
              <w:right w:type="dxa" w:w="100"/>
            </w:tcMar>
          </w:tcPr>
          <w:p>
            <w:pPr>
              <w:jc w:val="center"/>
            </w:pPr>
            <w:r>
              <w:rPr>
                <w:b w:val="false"/>
                <w:bCs w:val="false"/>
                <w:sz w:val="18"/>
                <w:szCs w:val="18"/>
              </w:rPr>
              <w:t xml:space="preserve">5.58</w:t>
            </w:r>
          </w:p>
        </w:tc>
        <w:tc>
          <w:tcPr>
            <w:tcW w:type="dxa" w:w="1600"/>
            <w:tcMar>
              <w:top w:type="dxa" w:w="60"/>
              <w:left w:type="dxa" w:w="100"/>
              <w:bottom w:type="dxa" w:w="60"/>
              <w:right w:type="dxa" w:w="100"/>
            </w:tcMar>
          </w:tcPr>
          <w:p>
            <w:pPr>
              <w:jc w:val="center"/>
            </w:pPr>
            <w:r>
              <w:rPr>
                <w:b w:val="false"/>
                <w:bCs w:val="false"/>
                <w:sz w:val="18"/>
                <w:szCs w:val="18"/>
              </w:rPr>
              <w:t xml:space="preserve">40.00</w:t>
            </w:r>
          </w:p>
        </w:tc>
      </w:tr>
      <w:tr>
        <w:tc>
          <w:tcPr>
            <w:tcW w:type="dxa" w:w="1900"/>
            <w:shd w:fill="F2F2F2" w:val="clear"/>
            <w:tcMar>
              <w:top w:type="dxa" w:w="60"/>
              <w:left w:type="dxa" w:w="100"/>
              <w:bottom w:type="dxa" w:w="60"/>
              <w:right w:type="dxa" w:w="100"/>
            </w:tcMar>
          </w:tcPr>
          <w:p>
            <w:pPr>
              <w:jc w:val="left"/>
            </w:pPr>
            <w:r>
              <w:rPr>
                <w:b w:val="false"/>
                <w:bCs w:val="false"/>
                <w:sz w:val="18"/>
                <w:szCs w:val="18"/>
              </w:rPr>
              <w:t xml:space="preserve">Optimization</w:t>
            </w:r>
          </w:p>
        </w:tc>
        <w:tc>
          <w:tcPr>
            <w:tcW w:type="dxa" w:w="700"/>
            <w:shd w:fill="F2F2F2" w:val="clear"/>
            <w:tcMar>
              <w:top w:type="dxa" w:w="60"/>
              <w:left w:type="dxa" w:w="100"/>
              <w:bottom w:type="dxa" w:w="60"/>
              <w:right w:type="dxa" w:w="100"/>
            </w:tcMar>
          </w:tcPr>
          <w:p>
            <w:pPr>
              <w:jc w:val="center"/>
            </w:pPr>
            <w:r>
              <w:rPr>
                <w:b w:val="false"/>
                <w:bCs w:val="false"/>
                <w:sz w:val="18"/>
                <w:szCs w:val="18"/>
              </w:rPr>
              <w:t xml:space="preserve">50</w:t>
            </w:r>
          </w:p>
        </w:tc>
        <w:tc>
          <w:tcPr>
            <w:tcW w:type="dxa" w:w="1400"/>
            <w:shd w:fill="F2F2F2" w:val="clear"/>
            <w:tcMar>
              <w:top w:type="dxa" w:w="60"/>
              <w:left w:type="dxa" w:w="100"/>
              <w:bottom w:type="dxa" w:w="60"/>
              <w:right w:type="dxa" w:w="100"/>
            </w:tcMar>
          </w:tcPr>
          <w:p>
            <w:pPr>
              <w:jc w:val="center"/>
            </w:pPr>
            <w:r>
              <w:rPr>
                <w:b w:val="false"/>
                <w:bCs w:val="false"/>
                <w:sz w:val="18"/>
                <w:szCs w:val="18"/>
              </w:rPr>
              <w:t xml:space="preserve">14.59</w:t>
            </w:r>
          </w:p>
        </w:tc>
        <w:tc>
          <w:tcPr>
            <w:tcW w:type="dxa" w:w="1500"/>
            <w:shd w:fill="F2F2F2" w:val="clear"/>
            <w:tcMar>
              <w:top w:type="dxa" w:w="60"/>
              <w:left w:type="dxa" w:w="100"/>
              <w:bottom w:type="dxa" w:w="60"/>
              <w:right w:type="dxa" w:w="100"/>
            </w:tcMar>
          </w:tcPr>
          <w:p>
            <w:pPr>
              <w:jc w:val="center"/>
            </w:pPr>
            <w:r>
              <w:rPr>
                <w:b w:val="false"/>
                <w:bCs w:val="false"/>
                <w:sz w:val="18"/>
                <w:szCs w:val="18"/>
              </w:rPr>
              <w:t xml:space="preserve">5.54</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0.19</w:t>
            </w:r>
          </w:p>
        </w:tc>
        <w:tc>
          <w:tcPr>
            <w:tcW w:type="dxa" w:w="1200"/>
            <w:shd w:fill="F2F2F2" w:val="clear"/>
            <w:tcMar>
              <w:top w:type="dxa" w:w="60"/>
              <w:left w:type="dxa" w:w="100"/>
              <w:bottom w:type="dxa" w:w="60"/>
              <w:right w:type="dxa" w:w="100"/>
            </w:tcMar>
          </w:tcPr>
          <w:p>
            <w:pPr>
              <w:jc w:val="center"/>
            </w:pPr>
            <w:r>
              <w:rPr>
                <w:b w:val="false"/>
                <w:bCs w:val="false"/>
                <w:sz w:val="18"/>
                <w:szCs w:val="18"/>
              </w:rPr>
              <w:t xml:space="preserve">7.87</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5.56</w:t>
            </w:r>
          </w:p>
        </w:tc>
        <w:tc>
          <w:tcPr>
            <w:tcW w:type="dxa" w:w="1600"/>
            <w:shd w:fill="F2F2F2" w:val="clear"/>
            <w:tcMar>
              <w:top w:type="dxa" w:w="60"/>
              <w:left w:type="dxa" w:w="100"/>
              <w:bottom w:type="dxa" w:w="60"/>
              <w:right w:type="dxa" w:w="100"/>
            </w:tcMar>
          </w:tcPr>
          <w:p>
            <w:pPr>
              <w:jc w:val="center"/>
            </w:pPr>
            <w:r>
              <w:rPr>
                <w:b w:val="false"/>
                <w:bCs w:val="false"/>
                <w:sz w:val="18"/>
                <w:szCs w:val="18"/>
              </w:rPr>
              <w:t xml:space="preserve">30.00</w:t>
            </w:r>
          </w:p>
        </w:tc>
      </w:tr>
      <w:tr>
        <w:tc>
          <w:tcPr>
            <w:tcW w:type="dxa" w:w="1900"/>
            <w:tcMar>
              <w:top w:type="dxa" w:w="60"/>
              <w:left w:type="dxa" w:w="100"/>
              <w:bottom w:type="dxa" w:w="60"/>
              <w:right w:type="dxa" w:w="100"/>
            </w:tcMar>
          </w:tcPr>
          <w:p>
            <w:pPr>
              <w:jc w:val="left"/>
            </w:pPr>
            <w:r>
              <w:rPr>
                <w:b w:val="false"/>
                <w:bCs w:val="false"/>
                <w:sz w:val="18"/>
                <w:szCs w:val="18"/>
              </w:rPr>
              <w:t xml:space="preserve">Optimization</w:t>
            </w:r>
          </w:p>
        </w:tc>
        <w:tc>
          <w:tcPr>
            <w:tcW w:type="dxa" w:w="700"/>
            <w:tcMar>
              <w:top w:type="dxa" w:w="60"/>
              <w:left w:type="dxa" w:w="100"/>
              <w:bottom w:type="dxa" w:w="60"/>
              <w:right w:type="dxa" w:w="100"/>
            </w:tcMar>
          </w:tcPr>
          <w:p>
            <w:pPr>
              <w:jc w:val="center"/>
            </w:pPr>
            <w:r>
              <w:rPr>
                <w:b w:val="false"/>
                <w:bCs w:val="false"/>
                <w:sz w:val="18"/>
                <w:szCs w:val="18"/>
              </w:rPr>
              <w:t xml:space="preserve">100</w:t>
            </w:r>
          </w:p>
        </w:tc>
        <w:tc>
          <w:tcPr>
            <w:tcW w:type="dxa" w:w="1400"/>
            <w:tcMar>
              <w:top w:type="dxa" w:w="60"/>
              <w:left w:type="dxa" w:w="100"/>
              <w:bottom w:type="dxa" w:w="60"/>
              <w:right w:type="dxa" w:w="100"/>
            </w:tcMar>
          </w:tcPr>
          <w:p>
            <w:pPr>
              <w:jc w:val="center"/>
            </w:pPr>
            <w:r>
              <w:rPr>
                <w:b w:val="false"/>
                <w:bCs w:val="false"/>
                <w:sz w:val="18"/>
                <w:szCs w:val="18"/>
              </w:rPr>
              <w:t xml:space="preserve">2.63</w:t>
            </w:r>
          </w:p>
        </w:tc>
        <w:tc>
          <w:tcPr>
            <w:tcW w:type="dxa" w:w="1500"/>
            <w:tcMar>
              <w:top w:type="dxa" w:w="60"/>
              <w:left w:type="dxa" w:w="100"/>
              <w:bottom w:type="dxa" w:w="60"/>
              <w:right w:type="dxa" w:w="100"/>
            </w:tcMar>
          </w:tcPr>
          <w:p>
            <w:pPr>
              <w:jc w:val="center"/>
            </w:pPr>
            <w:r>
              <w:rPr>
                <w:b w:val="false"/>
                <w:bCs w:val="false"/>
                <w:sz w:val="18"/>
                <w:szCs w:val="18"/>
              </w:rPr>
              <w:t xml:space="preserve">0.10</w:t>
            </w:r>
          </w:p>
        </w:tc>
        <w:tc>
          <w:tcPr>
            <w:tcW w:type="dxa" w:w="1300"/>
            <w:tcMar>
              <w:top w:type="dxa" w:w="60"/>
              <w:left w:type="dxa" w:w="100"/>
              <w:bottom w:type="dxa" w:w="60"/>
              <w:right w:type="dxa" w:w="100"/>
            </w:tcMar>
          </w:tcPr>
          <w:p>
            <w:pPr>
              <w:jc w:val="center"/>
            </w:pPr>
            <w:r>
              <w:rPr>
                <w:b w:val="false"/>
                <w:bCs w:val="false"/>
                <w:sz w:val="18"/>
                <w:szCs w:val="18"/>
              </w:rPr>
              <w:t xml:space="preserve">0.00</w:t>
            </w:r>
          </w:p>
        </w:tc>
        <w:tc>
          <w:tcPr>
            <w:tcW w:type="dxa" w:w="1200"/>
            <w:tcMar>
              <w:top w:type="dxa" w:w="60"/>
              <w:left w:type="dxa" w:w="100"/>
              <w:bottom w:type="dxa" w:w="60"/>
              <w:right w:type="dxa" w:w="100"/>
            </w:tcMar>
          </w:tcPr>
          <w:p>
            <w:pPr>
              <w:jc w:val="center"/>
            </w:pPr>
            <w:r>
              <w:rPr>
                <w:b w:val="false"/>
                <w:bCs w:val="false"/>
                <w:sz w:val="18"/>
                <w:szCs w:val="18"/>
              </w:rPr>
              <w:t xml:space="preserve">7.86</w:t>
            </w:r>
          </w:p>
        </w:tc>
        <w:tc>
          <w:tcPr>
            <w:tcW w:type="dxa" w:w="1100"/>
            <w:tcMar>
              <w:top w:type="dxa" w:w="60"/>
              <w:left w:type="dxa" w:w="100"/>
              <w:bottom w:type="dxa" w:w="60"/>
              <w:right w:type="dxa" w:w="100"/>
            </w:tcMar>
          </w:tcPr>
          <w:p>
            <w:pPr>
              <w:jc w:val="center"/>
            </w:pPr>
            <w:r>
              <w:rPr>
                <w:b w:val="false"/>
                <w:bCs w:val="false"/>
                <w:sz w:val="18"/>
                <w:szCs w:val="18"/>
              </w:rPr>
              <w:t xml:space="preserve">5.61</w:t>
            </w:r>
          </w:p>
        </w:tc>
        <w:tc>
          <w:tcPr>
            <w:tcW w:type="dxa" w:w="1600"/>
            <w:tcMar>
              <w:top w:type="dxa" w:w="60"/>
              <w:left w:type="dxa" w:w="100"/>
              <w:bottom w:type="dxa" w:w="60"/>
              <w:right w:type="dxa" w:w="100"/>
            </w:tcMar>
          </w:tcPr>
          <w:p>
            <w:pPr>
              <w:jc w:val="center"/>
            </w:pPr>
            <w:r>
              <w:rPr>
                <w:b w:val="false"/>
                <w:bCs w:val="false"/>
                <w:sz w:val="18"/>
                <w:szCs w:val="18"/>
              </w:rPr>
              <w:t xml:space="preserve">25.34</w:t>
            </w:r>
          </w:p>
        </w:tc>
      </w:tr>
      <w:tr>
        <w:tc>
          <w:tcPr>
            <w:tcW w:type="dxa" w:w="1900"/>
            <w:shd w:fill="F2F2F2" w:val="clear"/>
            <w:tcMar>
              <w:top w:type="dxa" w:w="60"/>
              <w:left w:type="dxa" w:w="100"/>
              <w:bottom w:type="dxa" w:w="60"/>
              <w:right w:type="dxa" w:w="100"/>
            </w:tcMar>
          </w:tcPr>
          <w:p>
            <w:pPr>
              <w:jc w:val="left"/>
            </w:pPr>
            <w:r>
              <w:rPr>
                <w:b w:val="false"/>
                <w:bCs w:val="false"/>
                <w:sz w:val="18"/>
                <w:szCs w:val="18"/>
              </w:rPr>
              <w:t xml:space="preserve">Optimization</w:t>
            </w:r>
          </w:p>
        </w:tc>
        <w:tc>
          <w:tcPr>
            <w:tcW w:type="dxa" w:w="700"/>
            <w:shd w:fill="F2F2F2" w:val="clear"/>
            <w:tcMar>
              <w:top w:type="dxa" w:w="60"/>
              <w:left w:type="dxa" w:w="100"/>
              <w:bottom w:type="dxa" w:w="60"/>
              <w:right w:type="dxa" w:w="100"/>
            </w:tcMar>
          </w:tcPr>
          <w:p>
            <w:pPr>
              <w:jc w:val="center"/>
            </w:pPr>
            <w:r>
              <w:rPr>
                <w:b w:val="false"/>
                <w:bCs w:val="false"/>
                <w:sz w:val="18"/>
                <w:szCs w:val="18"/>
              </w:rPr>
              <w:t xml:space="preserve">200</w:t>
            </w:r>
          </w:p>
        </w:tc>
        <w:tc>
          <w:tcPr>
            <w:tcW w:type="dxa" w:w="1400"/>
            <w:shd w:fill="F2F2F2" w:val="clear"/>
            <w:tcMar>
              <w:top w:type="dxa" w:w="60"/>
              <w:left w:type="dxa" w:w="100"/>
              <w:bottom w:type="dxa" w:w="60"/>
              <w:right w:type="dxa" w:w="100"/>
            </w:tcMar>
          </w:tcPr>
          <w:p>
            <w:pPr>
              <w:jc w:val="center"/>
            </w:pPr>
            <w:r>
              <w:rPr>
                <w:b w:val="false"/>
                <w:bCs w:val="false"/>
                <w:sz w:val="18"/>
                <w:szCs w:val="18"/>
              </w:rPr>
              <w:t xml:space="preserve">0.67</w:t>
            </w:r>
          </w:p>
        </w:tc>
        <w:tc>
          <w:tcPr>
            <w:tcW w:type="dxa" w:w="1500"/>
            <w:shd w:fill="F2F2F2" w:val="clear"/>
            <w:tcMar>
              <w:top w:type="dxa" w:w="60"/>
              <w:left w:type="dxa" w:w="100"/>
              <w:bottom w:type="dxa" w:w="60"/>
              <w:right w:type="dxa" w:w="100"/>
            </w:tcMar>
          </w:tcPr>
          <w:p>
            <w:pPr>
              <w:jc w:val="center"/>
            </w:pPr>
            <w:r>
              <w:rPr>
                <w:b w:val="false"/>
                <w:bCs w:val="false"/>
                <w:sz w:val="18"/>
                <w:szCs w:val="18"/>
              </w:rPr>
              <w:t xml:space="preserve">0.10</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0.00</w:t>
            </w:r>
          </w:p>
        </w:tc>
        <w:tc>
          <w:tcPr>
            <w:tcW w:type="dxa" w:w="1200"/>
            <w:shd w:fill="F2F2F2" w:val="clear"/>
            <w:tcMar>
              <w:top w:type="dxa" w:w="60"/>
              <w:left w:type="dxa" w:w="100"/>
              <w:bottom w:type="dxa" w:w="60"/>
              <w:right w:type="dxa" w:w="100"/>
            </w:tcMar>
          </w:tcPr>
          <w:p>
            <w:pPr>
              <w:jc w:val="center"/>
            </w:pPr>
            <w:r>
              <w:rPr>
                <w:b w:val="false"/>
                <w:bCs w:val="false"/>
                <w:sz w:val="18"/>
                <w:szCs w:val="18"/>
              </w:rPr>
              <w:t xml:space="preserve">7.86</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5.61</w:t>
            </w:r>
          </w:p>
        </w:tc>
        <w:tc>
          <w:tcPr>
            <w:tcW w:type="dxa" w:w="1600"/>
            <w:shd w:fill="F2F2F2" w:val="clear"/>
            <w:tcMar>
              <w:top w:type="dxa" w:w="60"/>
              <w:left w:type="dxa" w:w="100"/>
              <w:bottom w:type="dxa" w:w="60"/>
              <w:right w:type="dxa" w:w="100"/>
            </w:tcMar>
          </w:tcPr>
          <w:p>
            <w:pPr>
              <w:jc w:val="center"/>
            </w:pPr>
            <w:r>
              <w:rPr>
                <w:b w:val="false"/>
                <w:bCs w:val="false"/>
                <w:sz w:val="18"/>
                <w:szCs w:val="18"/>
              </w:rPr>
              <w:t xml:space="preserve">21.74</w:t>
            </w:r>
          </w:p>
        </w:tc>
      </w:tr>
    </w:tbl>
    <w:p>
      <w:pPr>
        <w:spacing w:after="240"/>
        <w:jc w:val="center"/>
      </w:pPr>
      <w:r>
        <w:rPr>
          <w:i/>
          <w:iCs/>
          <w:color w:val="666666"/>
          <w:sz w:val="18"/>
          <w:szCs w:val="18"/>
        </w:rPr>
        <w:t xml:space="preserve">Table 1. Sampling method comparison across portfolio sizes. *N=25 optimization hit a solver infeasibility (see Section 6.2) and used an equal-weight fallback — treat with caution.</w:t>
      </w:r>
    </w:p>
    <w:p>
      <w:pPr>
        <w:spacing w:before="120"/>
        <w:jc w:val="center"/>
      </w:pPr>
      <w:r>
        <w:drawing>
          <wp:inline distT="0" distB="0" distL="0" distR="0">
            <wp:extent cx="5334000" cy="29527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7" cstate="none"/>
                    <a:srcRect/>
                    <a:stretch>
                      <a:fillRect/>
                    </a:stretch>
                  </pic:blipFill>
                  <pic:spPr bwMode="auto">
                    <a:xfrm>
                      <a:off x="0" y="0"/>
                      <a:ext cx="5334000" cy="2952750"/>
                    </a:xfrm>
                    <a:prstGeom prst="rect">
                      <a:avLst/>
                    </a:prstGeom>
                  </pic:spPr>
                </pic:pic>
              </a:graphicData>
            </a:graphic>
          </wp:inline>
        </w:drawing>
      </w:r>
    </w:p>
    <w:p>
      <w:pPr>
        <w:spacing w:after="240"/>
        <w:jc w:val="center"/>
      </w:pPr>
      <w:r>
        <w:rPr>
          <w:i/>
          <w:iCs/>
          <w:color w:val="666666"/>
          <w:sz w:val="18"/>
          <w:szCs w:val="18"/>
        </w:rPr>
        <w:t xml:space="preserve">Figure 1. Sector allocation deviation from benchmark, by method and portfolio size.</w:t>
      </w:r>
    </w:p>
    <w:p>
      <w:pPr>
        <w:spacing w:after="160"/>
      </w:pPr>
      <w:r>
        <w:t xml:space="preserve">The ordering is consistent and expected: Largest Holdings is worst and roughly flat with N (it keeps adding smaller positions in the same already-included issuers/sectors rather than diversifying); Stratified improves steadily with N; Optimization dominates at every size and also achieves the tightest issuer concentration, since the issuer cap is an explicit constraint rather than incidental.</w:t>
      </w:r>
    </w:p>
    <w:p>
      <w:r>
        <w:br w:type="page"/>
      </w:r>
    </w:p>
    <w:p>
      <w:pPr>
        <w:pStyle w:val="Heading1"/>
        <w:spacing w:after="160" w:before="320"/>
      </w:pPr>
      <w:r>
        <w:t xml:space="preserve">5. Step 3: Incorporating Liquidity</w:t>
      </w:r>
    </w:p>
    <w:p>
      <w:pPr>
        <w:pStyle w:val="Heading2"/>
        <w:spacing w:after="120" w:before="240"/>
      </w:pPr>
      <w:r>
        <w:t xml:space="preserve">5.1 Liquidity proxy</w:t>
      </w:r>
    </w:p>
    <w:p>
      <w:pPr>
        <w:spacing w:after="160"/>
      </w:pPr>
      <w:r>
        <w:t xml:space="preserve">The public holdings file has no bond-level "amount outstanding" field. The ETF’s own Par Value (par amount of the position held) is used as a proxy: larger ETF positions generally correspond to larger, more liquid bond issues, since iBoxx-style indices weight constituents by issue size. This is an approximation — no bid-ask spread or trade volume data is available — and should be caveated explicitly in any downstream write-up. The score is log(Par Value), min-max normalized to [0,1].</w:t>
      </w:r>
    </w:p>
    <w:p>
      <w:pPr>
        <w:pStyle w:val="Heading2"/>
        <w:spacing w:after="120" w:before="240"/>
      </w:pPr>
      <w:r>
        <w:t xml:space="preserve">5.2 Liquidity-aware optimization</w:t>
      </w:r>
    </w:p>
    <w:p>
      <w:pPr>
        <w:spacing w:after="160"/>
      </w:pPr>
      <w:r>
        <w:t xml:space="preserve">The Step 2 optimizer is extended with a soft penalty: objective = tracking error − λ × (weighted average liquidity score). λ is swept over {0, 0.01, 0.05, 0.1, 0.25, 0.5, 1.0, 2.0} at N = 50, 100, and 200 to trace an accuracy/liquidity frontier.</w:t>
      </w:r>
    </w:p>
    <w:p>
      <w:pPr>
        <w:spacing w:after="160"/>
      </w:pPr>
      <w:r>
        <w:t xml:space="preserve">Modeling note: an early version of this penalty, being linear in portfolio weights, pushed the optimizer to concentrate weight in a handful of the largest-Par-Value bonds up to the issuer cap, collapsing well below the target N. A per-position weight cap and floor were added so the QP is forced to use exactly N distinct holdings even once the liquidity term is active — arguably a more realistic constraint for an index-sampling problem in general, independent of liquidity.</w:t>
      </w:r>
    </w:p>
    <w:p>
      <w:pPr>
        <w:pStyle w:val="Heading2"/>
        <w:spacing w:after="120" w:before="240"/>
      </w:pPr>
      <w:r>
        <w:t xml:space="preserve">5.3 Results</w:t>
      </w:r>
    </w:p>
    <w:tbl>
      <w:tblPr>
        <w:tblW w:type="dxa" w:w="7800"/>
        <w:tblBorders>
          <w:top w:val="single" w:color="auto" w:sz="4"/>
          <w:left w:val="single" w:color="auto" w:sz="4"/>
          <w:bottom w:val="single" w:color="auto" w:sz="4"/>
          <w:right w:val="single" w:color="auto" w:sz="4"/>
          <w:insideH w:val="single" w:color="auto" w:sz="4"/>
          <w:insideV w:val="single" w:color="auto" w:sz="4"/>
        </w:tblBorders>
      </w:tblPr>
      <w:tblGrid>
        <w:gridCol w:w="900"/>
        <w:gridCol w:w="1100"/>
        <w:gridCol w:w="1700"/>
        <w:gridCol w:w="1700"/>
        <w:gridCol w:w="1300"/>
        <w:gridCol w:w="1100"/>
      </w:tblGrid>
      <w:tr>
        <w:tc>
          <w:tcPr>
            <w:tcW w:type="dxa" w:w="900"/>
            <w:shd w:fill="1F3864" w:val="clear"/>
            <w:tcMar>
              <w:top w:type="dxa" w:w="60"/>
              <w:left w:type="dxa" w:w="100"/>
              <w:bottom w:type="dxa" w:w="60"/>
              <w:right w:type="dxa" w:w="100"/>
            </w:tcMar>
          </w:tcPr>
          <w:p>
            <w:pPr>
              <w:jc w:val="center"/>
            </w:pPr>
            <w:r>
              <w:rPr>
                <w:b/>
                <w:bCs/>
                <w:color w:val="FFFFFF"/>
                <w:sz w:val="18"/>
                <w:szCs w:val="18"/>
              </w:rPr>
              <w:t xml:space="preserve">N</w:t>
            </w:r>
          </w:p>
        </w:tc>
        <w:tc>
          <w:tcPr>
            <w:tcW w:type="dxa" w:w="1100"/>
            <w:shd w:fill="1F3864" w:val="clear"/>
            <w:tcMar>
              <w:top w:type="dxa" w:w="60"/>
              <w:left w:type="dxa" w:w="100"/>
              <w:bottom w:type="dxa" w:w="60"/>
              <w:right w:type="dxa" w:w="100"/>
            </w:tcMar>
          </w:tcPr>
          <w:p>
            <w:pPr>
              <w:jc w:val="center"/>
            </w:pPr>
            <w:r>
              <w:rPr>
                <w:b/>
                <w:bCs/>
                <w:color w:val="FFFFFF"/>
                <w:sz w:val="18"/>
                <w:szCs w:val="18"/>
              </w:rPr>
              <w:t xml:space="preserve">lambda</w:t>
            </w:r>
          </w:p>
        </w:tc>
        <w:tc>
          <w:tcPr>
            <w:tcW w:type="dxa" w:w="1700"/>
            <w:shd w:fill="1F3864" w:val="clear"/>
            <w:tcMar>
              <w:top w:type="dxa" w:w="60"/>
              <w:left w:type="dxa" w:w="100"/>
              <w:bottom w:type="dxa" w:w="60"/>
              <w:right w:type="dxa" w:w="100"/>
            </w:tcMar>
          </w:tcPr>
          <w:p>
            <w:pPr>
              <w:jc w:val="center"/>
            </w:pPr>
            <w:r>
              <w:rPr>
                <w:b/>
                <w:bCs/>
                <w:color w:val="FFFFFF"/>
                <w:sz w:val="18"/>
                <w:szCs w:val="18"/>
              </w:rPr>
              <w:t xml:space="preserve">Liquidity score</w:t>
            </w:r>
          </w:p>
        </w:tc>
        <w:tc>
          <w:tcPr>
            <w:tcW w:type="dxa" w:w="1700"/>
            <w:shd w:fill="1F3864" w:val="clear"/>
            <w:tcMar>
              <w:top w:type="dxa" w:w="60"/>
              <w:left w:type="dxa" w:w="100"/>
              <w:bottom w:type="dxa" w:w="60"/>
              <w:right w:type="dxa" w:w="100"/>
            </w:tcMar>
          </w:tcPr>
          <w:p>
            <w:pPr>
              <w:jc w:val="center"/>
            </w:pPr>
            <w:r>
              <w:rPr>
                <w:b/>
                <w:bCs/>
                <w:color w:val="FFFFFF"/>
                <w:sz w:val="18"/>
                <w:szCs w:val="18"/>
              </w:rPr>
              <w:t xml:space="preserve">Sector dev. (%)</w:t>
            </w:r>
          </w:p>
        </w:tc>
        <w:tc>
          <w:tcPr>
            <w:tcW w:type="dxa" w:w="1300"/>
            <w:shd w:fill="1F3864" w:val="clear"/>
            <w:tcMar>
              <w:top w:type="dxa" w:w="60"/>
              <w:left w:type="dxa" w:w="100"/>
              <w:bottom w:type="dxa" w:w="60"/>
              <w:right w:type="dxa" w:w="100"/>
            </w:tcMar>
          </w:tcPr>
          <w:p>
            <w:pPr>
              <w:jc w:val="center"/>
            </w:pPr>
            <w:r>
              <w:rPr>
                <w:b/>
                <w:bCs/>
                <w:color w:val="FFFFFF"/>
                <w:sz w:val="18"/>
                <w:szCs w:val="18"/>
              </w:rPr>
              <w:t xml:space="preserve">Duration</w:t>
            </w:r>
          </w:p>
        </w:tc>
        <w:tc>
          <w:tcPr>
            <w:tcW w:type="dxa" w:w="1100"/>
            <w:shd w:fill="1F3864" w:val="clear"/>
            <w:tcMar>
              <w:top w:type="dxa" w:w="60"/>
              <w:left w:type="dxa" w:w="100"/>
              <w:bottom w:type="dxa" w:w="60"/>
              <w:right w:type="dxa" w:w="100"/>
            </w:tcMar>
          </w:tcPr>
          <w:p>
            <w:pPr>
              <w:jc w:val="center"/>
            </w:pPr>
            <w:r>
              <w:rPr>
                <w:b/>
                <w:bCs/>
                <w:color w:val="FFFFFF"/>
                <w:sz w:val="18"/>
                <w:szCs w:val="18"/>
              </w:rPr>
              <w:t xml:space="preserve">YTM (%)</w:t>
            </w:r>
          </w:p>
        </w:tc>
      </w:tr>
      <w:tr>
        <w:tc>
          <w:tcPr>
            <w:tcW w:type="dxa" w:w="900"/>
            <w:tcMar>
              <w:top w:type="dxa" w:w="60"/>
              <w:left w:type="dxa" w:w="100"/>
              <w:bottom w:type="dxa" w:w="60"/>
              <w:right w:type="dxa" w:w="100"/>
            </w:tcMar>
          </w:tcPr>
          <w:p>
            <w:pPr>
              <w:jc w:val="left"/>
            </w:pPr>
            <w:r>
              <w:rPr>
                <w:b w:val="false"/>
                <w:bCs w:val="false"/>
                <w:sz w:val="18"/>
                <w:szCs w:val="18"/>
              </w:rPr>
              <w:t xml:space="preserve">50</w:t>
            </w:r>
          </w:p>
        </w:tc>
        <w:tc>
          <w:tcPr>
            <w:tcW w:type="dxa" w:w="1100"/>
            <w:tcMar>
              <w:top w:type="dxa" w:w="60"/>
              <w:left w:type="dxa" w:w="100"/>
              <w:bottom w:type="dxa" w:w="60"/>
              <w:right w:type="dxa" w:w="100"/>
            </w:tcMar>
          </w:tcPr>
          <w:p>
            <w:pPr>
              <w:jc w:val="center"/>
            </w:pPr>
            <w:r>
              <w:rPr>
                <w:b w:val="false"/>
                <w:bCs w:val="false"/>
                <w:sz w:val="18"/>
                <w:szCs w:val="18"/>
              </w:rPr>
              <w:t xml:space="preserve">0.00</w:t>
            </w:r>
          </w:p>
        </w:tc>
        <w:tc>
          <w:tcPr>
            <w:tcW w:type="dxa" w:w="1700"/>
            <w:tcMar>
              <w:top w:type="dxa" w:w="60"/>
              <w:left w:type="dxa" w:w="100"/>
              <w:bottom w:type="dxa" w:w="60"/>
              <w:right w:type="dxa" w:w="100"/>
            </w:tcMar>
          </w:tcPr>
          <w:p>
            <w:pPr>
              <w:jc w:val="center"/>
            </w:pPr>
            <w:r>
              <w:rPr>
                <w:b w:val="false"/>
                <w:bCs w:val="false"/>
                <w:sz w:val="18"/>
                <w:szCs w:val="18"/>
              </w:rPr>
              <w:t xml:space="preserve">0.877</w:t>
            </w:r>
          </w:p>
        </w:tc>
        <w:tc>
          <w:tcPr>
            <w:tcW w:type="dxa" w:w="1700"/>
            <w:tcMar>
              <w:top w:type="dxa" w:w="60"/>
              <w:left w:type="dxa" w:w="100"/>
              <w:bottom w:type="dxa" w:w="60"/>
              <w:right w:type="dxa" w:w="100"/>
            </w:tcMar>
          </w:tcPr>
          <w:p>
            <w:pPr>
              <w:jc w:val="center"/>
            </w:pPr>
            <w:r>
              <w:rPr>
                <w:b w:val="false"/>
                <w:bCs w:val="false"/>
                <w:sz w:val="18"/>
                <w:szCs w:val="18"/>
              </w:rPr>
              <w:t xml:space="preserve">14.59</w:t>
            </w:r>
          </w:p>
        </w:tc>
        <w:tc>
          <w:tcPr>
            <w:tcW w:type="dxa" w:w="1300"/>
            <w:tcMar>
              <w:top w:type="dxa" w:w="60"/>
              <w:left w:type="dxa" w:w="100"/>
              <w:bottom w:type="dxa" w:w="60"/>
              <w:right w:type="dxa" w:w="100"/>
            </w:tcMar>
          </w:tcPr>
          <w:p>
            <w:pPr>
              <w:jc w:val="center"/>
            </w:pPr>
            <w:r>
              <w:rPr>
                <w:b w:val="false"/>
                <w:bCs w:val="false"/>
                <w:sz w:val="18"/>
                <w:szCs w:val="18"/>
              </w:rPr>
              <w:t xml:space="preserve">7.87</w:t>
            </w:r>
          </w:p>
        </w:tc>
        <w:tc>
          <w:tcPr>
            <w:tcW w:type="dxa" w:w="1100"/>
            <w:tcMar>
              <w:top w:type="dxa" w:w="60"/>
              <w:left w:type="dxa" w:w="100"/>
              <w:bottom w:type="dxa" w:w="60"/>
              <w:right w:type="dxa" w:w="100"/>
            </w:tcMar>
          </w:tcPr>
          <w:p>
            <w:pPr>
              <w:jc w:val="center"/>
            </w:pPr>
            <w:r>
              <w:rPr>
                <w:b w:val="false"/>
                <w:bCs w:val="false"/>
                <w:sz w:val="18"/>
                <w:szCs w:val="18"/>
              </w:rPr>
              <w:t xml:space="preserve">5.56</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50</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0.05</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0.913</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14.59</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7.76</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5.62</w:t>
            </w:r>
          </w:p>
        </w:tc>
      </w:tr>
      <w:tr>
        <w:tc>
          <w:tcPr>
            <w:tcW w:type="dxa" w:w="900"/>
            <w:tcMar>
              <w:top w:type="dxa" w:w="60"/>
              <w:left w:type="dxa" w:w="100"/>
              <w:bottom w:type="dxa" w:w="60"/>
              <w:right w:type="dxa" w:w="100"/>
            </w:tcMar>
          </w:tcPr>
          <w:p>
            <w:pPr>
              <w:jc w:val="left"/>
            </w:pPr>
            <w:r>
              <w:rPr>
                <w:b w:val="false"/>
                <w:bCs w:val="false"/>
                <w:sz w:val="18"/>
                <w:szCs w:val="18"/>
              </w:rPr>
              <w:t xml:space="preserve">50</w:t>
            </w:r>
          </w:p>
        </w:tc>
        <w:tc>
          <w:tcPr>
            <w:tcW w:type="dxa" w:w="1100"/>
            <w:tcMar>
              <w:top w:type="dxa" w:w="60"/>
              <w:left w:type="dxa" w:w="100"/>
              <w:bottom w:type="dxa" w:w="60"/>
              <w:right w:type="dxa" w:w="100"/>
            </w:tcMar>
          </w:tcPr>
          <w:p>
            <w:pPr>
              <w:jc w:val="center"/>
            </w:pPr>
            <w:r>
              <w:rPr>
                <w:b w:val="false"/>
                <w:bCs w:val="false"/>
                <w:sz w:val="18"/>
                <w:szCs w:val="18"/>
              </w:rPr>
              <w:t xml:space="preserve">1.00</w:t>
            </w:r>
          </w:p>
        </w:tc>
        <w:tc>
          <w:tcPr>
            <w:tcW w:type="dxa" w:w="1700"/>
            <w:tcMar>
              <w:top w:type="dxa" w:w="60"/>
              <w:left w:type="dxa" w:w="100"/>
              <w:bottom w:type="dxa" w:w="60"/>
              <w:right w:type="dxa" w:w="100"/>
            </w:tcMar>
          </w:tcPr>
          <w:p>
            <w:pPr>
              <w:jc w:val="center"/>
            </w:pPr>
            <w:r>
              <w:rPr>
                <w:b w:val="false"/>
                <w:bCs w:val="false"/>
                <w:sz w:val="18"/>
                <w:szCs w:val="18"/>
              </w:rPr>
              <w:t xml:space="preserve">0.916</w:t>
            </w:r>
          </w:p>
        </w:tc>
        <w:tc>
          <w:tcPr>
            <w:tcW w:type="dxa" w:w="1700"/>
            <w:tcMar>
              <w:top w:type="dxa" w:w="60"/>
              <w:left w:type="dxa" w:w="100"/>
              <w:bottom w:type="dxa" w:w="60"/>
              <w:right w:type="dxa" w:w="100"/>
            </w:tcMar>
          </w:tcPr>
          <w:p>
            <w:pPr>
              <w:jc w:val="center"/>
            </w:pPr>
            <w:r>
              <w:rPr>
                <w:b w:val="false"/>
                <w:bCs w:val="false"/>
                <w:sz w:val="18"/>
                <w:szCs w:val="18"/>
              </w:rPr>
              <w:t xml:space="preserve">17.23</w:t>
            </w:r>
          </w:p>
        </w:tc>
        <w:tc>
          <w:tcPr>
            <w:tcW w:type="dxa" w:w="1300"/>
            <w:tcMar>
              <w:top w:type="dxa" w:w="60"/>
              <w:left w:type="dxa" w:w="100"/>
              <w:bottom w:type="dxa" w:w="60"/>
              <w:right w:type="dxa" w:w="100"/>
            </w:tcMar>
          </w:tcPr>
          <w:p>
            <w:pPr>
              <w:jc w:val="center"/>
            </w:pPr>
            <w:r>
              <w:rPr>
                <w:b w:val="false"/>
                <w:bCs w:val="false"/>
                <w:sz w:val="18"/>
                <w:szCs w:val="18"/>
              </w:rPr>
              <w:t xml:space="preserve">7.90</w:t>
            </w:r>
          </w:p>
        </w:tc>
        <w:tc>
          <w:tcPr>
            <w:tcW w:type="dxa" w:w="1100"/>
            <w:tcMar>
              <w:top w:type="dxa" w:w="60"/>
              <w:left w:type="dxa" w:w="100"/>
              <w:bottom w:type="dxa" w:w="60"/>
              <w:right w:type="dxa" w:w="100"/>
            </w:tcMar>
          </w:tcPr>
          <w:p>
            <w:pPr>
              <w:jc w:val="center"/>
            </w:pPr>
            <w:r>
              <w:rPr>
                <w:b w:val="false"/>
                <w:bCs w:val="false"/>
                <w:sz w:val="18"/>
                <w:szCs w:val="18"/>
              </w:rPr>
              <w:t xml:space="preserve">5.66</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100</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0.00</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0.861</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2.63</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7.86</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5.61</w:t>
            </w:r>
          </w:p>
        </w:tc>
      </w:tr>
      <w:tr>
        <w:tc>
          <w:tcPr>
            <w:tcW w:type="dxa" w:w="900"/>
            <w:tcMar>
              <w:top w:type="dxa" w:w="60"/>
              <w:left w:type="dxa" w:w="100"/>
              <w:bottom w:type="dxa" w:w="60"/>
              <w:right w:type="dxa" w:w="100"/>
            </w:tcMar>
          </w:tcPr>
          <w:p>
            <w:pPr>
              <w:jc w:val="left"/>
            </w:pPr>
            <w:r>
              <w:rPr>
                <w:b w:val="false"/>
                <w:bCs w:val="false"/>
                <w:sz w:val="18"/>
                <w:szCs w:val="18"/>
              </w:rPr>
              <w:t xml:space="preserve">100</w:t>
            </w:r>
          </w:p>
        </w:tc>
        <w:tc>
          <w:tcPr>
            <w:tcW w:type="dxa" w:w="1100"/>
            <w:tcMar>
              <w:top w:type="dxa" w:w="60"/>
              <w:left w:type="dxa" w:w="100"/>
              <w:bottom w:type="dxa" w:w="60"/>
              <w:right w:type="dxa" w:w="100"/>
            </w:tcMar>
          </w:tcPr>
          <w:p>
            <w:pPr>
              <w:jc w:val="center"/>
            </w:pPr>
            <w:r>
              <w:rPr>
                <w:b w:val="false"/>
                <w:bCs w:val="false"/>
                <w:sz w:val="18"/>
                <w:szCs w:val="18"/>
              </w:rPr>
              <w:t xml:space="preserve">0.05</w:t>
            </w:r>
          </w:p>
        </w:tc>
        <w:tc>
          <w:tcPr>
            <w:tcW w:type="dxa" w:w="1700"/>
            <w:tcMar>
              <w:top w:type="dxa" w:w="60"/>
              <w:left w:type="dxa" w:w="100"/>
              <w:bottom w:type="dxa" w:w="60"/>
              <w:right w:type="dxa" w:w="100"/>
            </w:tcMar>
          </w:tcPr>
          <w:p>
            <w:pPr>
              <w:jc w:val="center"/>
            </w:pPr>
            <w:r>
              <w:rPr>
                <w:b w:val="false"/>
                <w:bCs w:val="false"/>
                <w:sz w:val="18"/>
                <w:szCs w:val="18"/>
              </w:rPr>
              <w:t xml:space="preserve">0.908</w:t>
            </w:r>
          </w:p>
        </w:tc>
        <w:tc>
          <w:tcPr>
            <w:tcW w:type="dxa" w:w="1700"/>
            <w:tcMar>
              <w:top w:type="dxa" w:w="60"/>
              <w:left w:type="dxa" w:w="100"/>
              <w:bottom w:type="dxa" w:w="60"/>
              <w:right w:type="dxa" w:w="100"/>
            </w:tcMar>
          </w:tcPr>
          <w:p>
            <w:pPr>
              <w:jc w:val="center"/>
            </w:pPr>
            <w:r>
              <w:rPr>
                <w:b w:val="false"/>
                <w:bCs w:val="false"/>
                <w:sz w:val="18"/>
                <w:szCs w:val="18"/>
              </w:rPr>
              <w:t xml:space="preserve">4.94</w:t>
            </w:r>
          </w:p>
        </w:tc>
        <w:tc>
          <w:tcPr>
            <w:tcW w:type="dxa" w:w="1300"/>
            <w:tcMar>
              <w:top w:type="dxa" w:w="60"/>
              <w:left w:type="dxa" w:w="100"/>
              <w:bottom w:type="dxa" w:w="60"/>
              <w:right w:type="dxa" w:w="100"/>
            </w:tcMar>
          </w:tcPr>
          <w:p>
            <w:pPr>
              <w:jc w:val="center"/>
            </w:pPr>
            <w:r>
              <w:rPr>
                <w:b w:val="false"/>
                <w:bCs w:val="false"/>
                <w:sz w:val="18"/>
                <w:szCs w:val="18"/>
              </w:rPr>
              <w:t xml:space="preserve">7.85</w:t>
            </w:r>
          </w:p>
        </w:tc>
        <w:tc>
          <w:tcPr>
            <w:tcW w:type="dxa" w:w="1100"/>
            <w:tcMar>
              <w:top w:type="dxa" w:w="60"/>
              <w:left w:type="dxa" w:w="100"/>
              <w:bottom w:type="dxa" w:w="60"/>
              <w:right w:type="dxa" w:w="100"/>
            </w:tcMar>
          </w:tcPr>
          <w:p>
            <w:pPr>
              <w:jc w:val="center"/>
            </w:pPr>
            <w:r>
              <w:rPr>
                <w:b w:val="false"/>
                <w:bCs w:val="false"/>
                <w:sz w:val="18"/>
                <w:szCs w:val="18"/>
              </w:rPr>
              <w:t xml:space="preserve">5.63</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100</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1.00</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0.913</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8.42</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7.81</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5.65</w:t>
            </w:r>
          </w:p>
        </w:tc>
      </w:tr>
      <w:tr>
        <w:tc>
          <w:tcPr>
            <w:tcW w:type="dxa" w:w="900"/>
            <w:tcMar>
              <w:top w:type="dxa" w:w="60"/>
              <w:left w:type="dxa" w:w="100"/>
              <w:bottom w:type="dxa" w:w="60"/>
              <w:right w:type="dxa" w:w="100"/>
            </w:tcMar>
          </w:tcPr>
          <w:p>
            <w:pPr>
              <w:jc w:val="left"/>
            </w:pPr>
            <w:r>
              <w:rPr>
                <w:b w:val="false"/>
                <w:bCs w:val="false"/>
                <w:sz w:val="18"/>
                <w:szCs w:val="18"/>
              </w:rPr>
              <w:t xml:space="preserve">200</w:t>
            </w:r>
          </w:p>
        </w:tc>
        <w:tc>
          <w:tcPr>
            <w:tcW w:type="dxa" w:w="1100"/>
            <w:tcMar>
              <w:top w:type="dxa" w:w="60"/>
              <w:left w:type="dxa" w:w="100"/>
              <w:bottom w:type="dxa" w:w="60"/>
              <w:right w:type="dxa" w:w="100"/>
            </w:tcMar>
          </w:tcPr>
          <w:p>
            <w:pPr>
              <w:jc w:val="center"/>
            </w:pPr>
            <w:r>
              <w:rPr>
                <w:b w:val="false"/>
                <w:bCs w:val="false"/>
                <w:sz w:val="18"/>
                <w:szCs w:val="18"/>
              </w:rPr>
              <w:t xml:space="preserve">0.00</w:t>
            </w:r>
          </w:p>
        </w:tc>
        <w:tc>
          <w:tcPr>
            <w:tcW w:type="dxa" w:w="1700"/>
            <w:tcMar>
              <w:top w:type="dxa" w:w="60"/>
              <w:left w:type="dxa" w:w="100"/>
              <w:bottom w:type="dxa" w:w="60"/>
              <w:right w:type="dxa" w:w="100"/>
            </w:tcMar>
          </w:tcPr>
          <w:p>
            <w:pPr>
              <w:jc w:val="center"/>
            </w:pPr>
            <w:r>
              <w:rPr>
                <w:b w:val="false"/>
                <w:bCs w:val="false"/>
                <w:sz w:val="18"/>
                <w:szCs w:val="18"/>
              </w:rPr>
              <w:t xml:space="preserve">0.853</w:t>
            </w:r>
          </w:p>
        </w:tc>
        <w:tc>
          <w:tcPr>
            <w:tcW w:type="dxa" w:w="1700"/>
            <w:tcMar>
              <w:top w:type="dxa" w:w="60"/>
              <w:left w:type="dxa" w:w="100"/>
              <w:bottom w:type="dxa" w:w="60"/>
              <w:right w:type="dxa" w:w="100"/>
            </w:tcMar>
          </w:tcPr>
          <w:p>
            <w:pPr>
              <w:jc w:val="center"/>
            </w:pPr>
            <w:r>
              <w:rPr>
                <w:b w:val="false"/>
                <w:bCs w:val="false"/>
                <w:sz w:val="18"/>
                <w:szCs w:val="18"/>
              </w:rPr>
              <w:t xml:space="preserve">0.67</w:t>
            </w:r>
          </w:p>
        </w:tc>
        <w:tc>
          <w:tcPr>
            <w:tcW w:type="dxa" w:w="1300"/>
            <w:tcMar>
              <w:top w:type="dxa" w:w="60"/>
              <w:left w:type="dxa" w:w="100"/>
              <w:bottom w:type="dxa" w:w="60"/>
              <w:right w:type="dxa" w:w="100"/>
            </w:tcMar>
          </w:tcPr>
          <w:p>
            <w:pPr>
              <w:jc w:val="center"/>
            </w:pPr>
            <w:r>
              <w:rPr>
                <w:b w:val="false"/>
                <w:bCs w:val="false"/>
                <w:sz w:val="18"/>
                <w:szCs w:val="18"/>
              </w:rPr>
              <w:t xml:space="preserve">7.86</w:t>
            </w:r>
          </w:p>
        </w:tc>
        <w:tc>
          <w:tcPr>
            <w:tcW w:type="dxa" w:w="1100"/>
            <w:tcMar>
              <w:top w:type="dxa" w:w="60"/>
              <w:left w:type="dxa" w:w="100"/>
              <w:bottom w:type="dxa" w:w="60"/>
              <w:right w:type="dxa" w:w="100"/>
            </w:tcMar>
          </w:tcPr>
          <w:p>
            <w:pPr>
              <w:jc w:val="center"/>
            </w:pPr>
            <w:r>
              <w:rPr>
                <w:b w:val="false"/>
                <w:bCs w:val="false"/>
                <w:sz w:val="18"/>
                <w:szCs w:val="18"/>
              </w:rPr>
              <w:t xml:space="preserve">5.61</w:t>
            </w:r>
          </w:p>
        </w:tc>
      </w:tr>
      <w:tr>
        <w:tc>
          <w:tcPr>
            <w:tcW w:type="dxa" w:w="900"/>
            <w:shd w:fill="F2F2F2" w:val="clear"/>
            <w:tcMar>
              <w:top w:type="dxa" w:w="60"/>
              <w:left w:type="dxa" w:w="100"/>
              <w:bottom w:type="dxa" w:w="60"/>
              <w:right w:type="dxa" w:w="100"/>
            </w:tcMar>
          </w:tcPr>
          <w:p>
            <w:pPr>
              <w:jc w:val="left"/>
            </w:pPr>
            <w:r>
              <w:rPr>
                <w:b w:val="false"/>
                <w:bCs w:val="false"/>
                <w:sz w:val="18"/>
                <w:szCs w:val="18"/>
              </w:rPr>
              <w:t xml:space="preserve">200</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0.05</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0.902</w:t>
            </w:r>
          </w:p>
        </w:tc>
        <w:tc>
          <w:tcPr>
            <w:tcW w:type="dxa" w:w="1700"/>
            <w:shd w:fill="F2F2F2" w:val="clear"/>
            <w:tcMar>
              <w:top w:type="dxa" w:w="60"/>
              <w:left w:type="dxa" w:w="100"/>
              <w:bottom w:type="dxa" w:w="60"/>
              <w:right w:type="dxa" w:w="100"/>
            </w:tcMar>
          </w:tcPr>
          <w:p>
            <w:pPr>
              <w:jc w:val="center"/>
            </w:pPr>
            <w:r>
              <w:rPr>
                <w:b w:val="false"/>
                <w:bCs w:val="false"/>
                <w:sz w:val="18"/>
                <w:szCs w:val="18"/>
              </w:rPr>
              <w:t xml:space="preserve">1.23</w:t>
            </w:r>
          </w:p>
        </w:tc>
        <w:tc>
          <w:tcPr>
            <w:tcW w:type="dxa" w:w="1300"/>
            <w:shd w:fill="F2F2F2" w:val="clear"/>
            <w:tcMar>
              <w:top w:type="dxa" w:w="60"/>
              <w:left w:type="dxa" w:w="100"/>
              <w:bottom w:type="dxa" w:w="60"/>
              <w:right w:type="dxa" w:w="100"/>
            </w:tcMar>
          </w:tcPr>
          <w:p>
            <w:pPr>
              <w:jc w:val="center"/>
            </w:pPr>
            <w:r>
              <w:rPr>
                <w:b w:val="false"/>
                <w:bCs w:val="false"/>
                <w:sz w:val="18"/>
                <w:szCs w:val="18"/>
              </w:rPr>
              <w:t xml:space="preserve">7.86</w:t>
            </w:r>
          </w:p>
        </w:tc>
        <w:tc>
          <w:tcPr>
            <w:tcW w:type="dxa" w:w="1100"/>
            <w:shd w:fill="F2F2F2" w:val="clear"/>
            <w:tcMar>
              <w:top w:type="dxa" w:w="60"/>
              <w:left w:type="dxa" w:w="100"/>
              <w:bottom w:type="dxa" w:w="60"/>
              <w:right w:type="dxa" w:w="100"/>
            </w:tcMar>
          </w:tcPr>
          <w:p>
            <w:pPr>
              <w:jc w:val="center"/>
            </w:pPr>
            <w:r>
              <w:rPr>
                <w:b w:val="false"/>
                <w:bCs w:val="false"/>
                <w:sz w:val="18"/>
                <w:szCs w:val="18"/>
              </w:rPr>
              <w:t xml:space="preserve">5.61</w:t>
            </w:r>
          </w:p>
        </w:tc>
      </w:tr>
      <w:tr>
        <w:tc>
          <w:tcPr>
            <w:tcW w:type="dxa" w:w="900"/>
            <w:tcMar>
              <w:top w:type="dxa" w:w="60"/>
              <w:left w:type="dxa" w:w="100"/>
              <w:bottom w:type="dxa" w:w="60"/>
              <w:right w:type="dxa" w:w="100"/>
            </w:tcMar>
          </w:tcPr>
          <w:p>
            <w:pPr>
              <w:jc w:val="left"/>
            </w:pPr>
            <w:r>
              <w:rPr>
                <w:b w:val="false"/>
                <w:bCs w:val="false"/>
                <w:sz w:val="18"/>
                <w:szCs w:val="18"/>
              </w:rPr>
              <w:t xml:space="preserve">200</w:t>
            </w:r>
          </w:p>
        </w:tc>
        <w:tc>
          <w:tcPr>
            <w:tcW w:type="dxa" w:w="1100"/>
            <w:tcMar>
              <w:top w:type="dxa" w:w="60"/>
              <w:left w:type="dxa" w:w="100"/>
              <w:bottom w:type="dxa" w:w="60"/>
              <w:right w:type="dxa" w:w="100"/>
            </w:tcMar>
          </w:tcPr>
          <w:p>
            <w:pPr>
              <w:jc w:val="center"/>
            </w:pPr>
            <w:r>
              <w:rPr>
                <w:b w:val="false"/>
                <w:bCs w:val="false"/>
                <w:sz w:val="18"/>
                <w:szCs w:val="18"/>
              </w:rPr>
              <w:t xml:space="preserve">1.00</w:t>
            </w:r>
          </w:p>
        </w:tc>
        <w:tc>
          <w:tcPr>
            <w:tcW w:type="dxa" w:w="1700"/>
            <w:tcMar>
              <w:top w:type="dxa" w:w="60"/>
              <w:left w:type="dxa" w:w="100"/>
              <w:bottom w:type="dxa" w:w="60"/>
              <w:right w:type="dxa" w:w="100"/>
            </w:tcMar>
          </w:tcPr>
          <w:p>
            <w:pPr>
              <w:jc w:val="center"/>
            </w:pPr>
            <w:r>
              <w:rPr>
                <w:b w:val="false"/>
                <w:bCs w:val="false"/>
                <w:sz w:val="18"/>
                <w:szCs w:val="18"/>
              </w:rPr>
              <w:t xml:space="preserve">0.909</w:t>
            </w:r>
          </w:p>
        </w:tc>
        <w:tc>
          <w:tcPr>
            <w:tcW w:type="dxa" w:w="1700"/>
            <w:tcMar>
              <w:top w:type="dxa" w:w="60"/>
              <w:left w:type="dxa" w:w="100"/>
              <w:bottom w:type="dxa" w:w="60"/>
              <w:right w:type="dxa" w:w="100"/>
            </w:tcMar>
          </w:tcPr>
          <w:p>
            <w:pPr>
              <w:jc w:val="center"/>
            </w:pPr>
            <w:r>
              <w:rPr>
                <w:b w:val="false"/>
                <w:bCs w:val="false"/>
                <w:sz w:val="18"/>
                <w:szCs w:val="18"/>
              </w:rPr>
              <w:t xml:space="preserve">6.82</w:t>
            </w:r>
          </w:p>
        </w:tc>
        <w:tc>
          <w:tcPr>
            <w:tcW w:type="dxa" w:w="1300"/>
            <w:tcMar>
              <w:top w:type="dxa" w:w="60"/>
              <w:left w:type="dxa" w:w="100"/>
              <w:bottom w:type="dxa" w:w="60"/>
              <w:right w:type="dxa" w:w="100"/>
            </w:tcMar>
          </w:tcPr>
          <w:p>
            <w:pPr>
              <w:jc w:val="center"/>
            </w:pPr>
            <w:r>
              <w:rPr>
                <w:b w:val="false"/>
                <w:bCs w:val="false"/>
                <w:sz w:val="18"/>
                <w:szCs w:val="18"/>
              </w:rPr>
              <w:t xml:space="preserve">7.91</w:t>
            </w:r>
          </w:p>
        </w:tc>
        <w:tc>
          <w:tcPr>
            <w:tcW w:type="dxa" w:w="1100"/>
            <w:tcMar>
              <w:top w:type="dxa" w:w="60"/>
              <w:left w:type="dxa" w:w="100"/>
              <w:bottom w:type="dxa" w:w="60"/>
              <w:right w:type="dxa" w:w="100"/>
            </w:tcMar>
          </w:tcPr>
          <w:p>
            <w:pPr>
              <w:jc w:val="center"/>
            </w:pPr>
            <w:r>
              <w:rPr>
                <w:b w:val="false"/>
                <w:bCs w:val="false"/>
                <w:sz w:val="18"/>
                <w:szCs w:val="18"/>
              </w:rPr>
              <w:t xml:space="preserve">5.66</w:t>
            </w:r>
          </w:p>
        </w:tc>
      </w:tr>
    </w:tbl>
    <w:p>
      <w:pPr>
        <w:spacing w:after="240"/>
        <w:jc w:val="center"/>
      </w:pPr>
      <w:r>
        <w:rPr>
          <w:i/>
          <w:iCs/>
          <w:color w:val="666666"/>
          <w:sz w:val="18"/>
          <w:szCs w:val="18"/>
        </w:rPr>
        <w:t xml:space="preserve">Table 2. Liquidity penalty sweep (abridged — full 24-row sweep in step3_liquidity_sweep.csv).</w:t>
      </w:r>
    </w:p>
    <w:p>
      <w:pPr>
        <w:spacing w:before="120"/>
        <w:jc w:val="center"/>
      </w:pPr>
      <w:r>
        <w:drawing>
          <wp:inline distT="0" distB="0" distL="0" distR="0">
            <wp:extent cx="5334000" cy="2619375"/>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5334000" cy="2619375"/>
                    </a:xfrm>
                    <a:prstGeom prst="rect">
                      <a:avLst/>
                    </a:prstGeom>
                  </pic:spPr>
                </pic:pic>
              </a:graphicData>
            </a:graphic>
          </wp:inline>
        </w:drawing>
      </w:r>
    </w:p>
    <w:p>
      <w:pPr>
        <w:spacing w:after="240"/>
        <w:jc w:val="center"/>
      </w:pPr>
      <w:r>
        <w:rPr>
          <w:i/>
          <w:iCs/>
          <w:color w:val="666666"/>
          <w:sz w:val="18"/>
          <w:szCs w:val="18"/>
        </w:rPr>
        <w:t xml:space="preserve">Figure 2. Liquidity score and tracking-accuracy cost as the liquidity penalty (lambda) increases.</w:t>
      </w:r>
    </w:p>
    <w:p>
      <w:pPr>
        <w:spacing w:after="160"/>
      </w:pPr>
      <w:r>
        <w:t xml:space="preserve">Headline finding: even a small liquidity penalty (λ = 0.01) buys a large, immediate liquidity improvement — the weighted-average liquidity score jumps from roughly 0.85–0.88 (λ = 0, pure tracking) to roughly 0.90–0.92. Beyond that initial jump, liquidity gains mostly plateau: pushing λ higher does not buy much more liquidity, but does cost more tracking accuracy, particularly at smaller N. This suggests liquidity and replication accuracy are not in constant tension across the whole range — the real trade-off is concentrated at the low end of λ.</w:t>
      </w:r>
    </w:p>
    <w:p>
      <w:pPr>
        <w:pStyle w:val="Heading1"/>
        <w:spacing w:after="160" w:before="320"/>
      </w:pPr>
      <w:r>
        <w:t xml:space="preserve">6. Known Limitations</w:t>
      </w:r>
    </w:p>
    <w:p>
      <w:pPr>
        <w:pStyle w:val="Heading2"/>
        <w:spacing w:after="120" w:before="240"/>
      </w:pPr>
      <w:r>
        <w:t xml:space="preserve">6.1 Rating and liquidity proxies</w:t>
      </w:r>
    </w:p>
    <w:p>
      <w:pPr>
        <w:pStyle w:val="ListParagraph"/>
        <w:numPr>
          <w:ilvl w:val="0"/>
          <w:numId w:val="1"/>
        </w:numPr>
        <w:spacing w:after="80"/>
      </w:pPr>
      <w:r>
        <w:t xml:space="preserve">The rating bucket is a two-tier proxy (A-or-better vs. BBB) inferred by cross-fund matching, not a true bond-level agency rating; ~2.8% of the portfolio remains unclassified.</w:t>
      </w:r>
    </w:p>
    <w:p>
      <w:pPr>
        <w:pStyle w:val="ListParagraph"/>
        <w:numPr>
          <w:ilvl w:val="0"/>
          <w:numId w:val="1"/>
        </w:numPr>
        <w:spacing w:after="80"/>
      </w:pPr>
      <w:r>
        <w:t xml:space="preserve">The liquidity score uses ETF par holding size, not the bond’s true amount outstanding or any trading-activity measure (bid-ask spread, trade volume). This is the most significant open data gap in the project.</w:t>
      </w:r>
    </w:p>
    <w:p>
      <w:pPr>
        <w:pStyle w:val="Heading2"/>
        <w:spacing w:after="120" w:before="240"/>
      </w:pPr>
      <w:r>
        <w:t xml:space="preserve">6.2 Optimization edge cases</w:t>
      </w:r>
    </w:p>
    <w:p>
      <w:pPr>
        <w:pStyle w:val="ListParagraph"/>
        <w:numPr>
          <w:ilvl w:val="0"/>
          <w:numId w:val="1"/>
        </w:numPr>
        <w:spacing w:after="80"/>
      </w:pPr>
      <w:r>
        <w:t xml:space="preserve">N=25 with the liquidity-and-rating-aware optimizer hit a solver infeasibility (the combination of issuer cap, position floor, and position cap left no feasible region for such a small candidate support) and fell back to equal weighting. This result should not be used as-is; the constraint set needs loosening specifically at very small N.</w:t>
      </w:r>
    </w:p>
    <w:p>
      <w:pPr>
        <w:pStyle w:val="ListParagraph"/>
        <w:numPr>
          <w:ilvl w:val="0"/>
          <w:numId w:val="1"/>
        </w:numPr>
        <w:spacing w:after="80"/>
      </w:pPr>
      <w:r>
        <w:t xml:space="preserve">The λ-sweep curve (Figure 2) is somewhat noisy rather than perfectly monotonic — an artifact of the reweighted-L1 heuristic responding differently to the liquidity term at each λ. A finer grid or more reweighting iterations would smooth this if a cleaner frontier is needed for the final report.</w:t>
      </w:r>
    </w:p>
    <w:p>
      <w:pPr>
        <w:pStyle w:val="Heading1"/>
        <w:spacing w:after="160" w:before="320"/>
      </w:pPr>
      <w:r>
        <w:t xml:space="preserve">7. Next Steps</w:t>
      </w:r>
    </w:p>
    <w:p>
      <w:pPr>
        <w:pStyle w:val="ListParagraph"/>
        <w:numPr>
          <w:ilvl w:val="0"/>
          <w:numId w:val="1"/>
        </w:numPr>
        <w:spacing w:after="80"/>
      </w:pPr>
      <w:r>
        <w:t xml:space="preserve">Step 4: build head-to-head comparison tables/charts, with vs. without liquidity considerations, across all evaluated dimensions.</w:t>
      </w:r>
    </w:p>
    <w:p>
      <w:pPr>
        <w:pStyle w:val="ListParagraph"/>
        <w:numPr>
          <w:ilvl w:val="0"/>
          <w:numId w:val="1"/>
        </w:numPr>
        <w:spacing w:after="80"/>
      </w:pPr>
      <w:r>
        <w:t xml:space="preserve">Step 5: formalize the trade-off analysis and directly answer the four questions posed in the original proposal (accuracy lost to liquidity, yield impact, which characteristics are hardest to preserve, and how required holdings count scales with tighter liquidity constraints).</w:t>
      </w:r>
    </w:p>
    <w:p>
      <w:pPr>
        <w:pStyle w:val="ListParagraph"/>
        <w:numPr>
          <w:ilvl w:val="0"/>
          <w:numId w:val="1"/>
        </w:numPr>
        <w:spacing w:after="80"/>
      </w:pPr>
      <w:r>
        <w:t xml:space="preserve">Optionally: revisit the N=25 optimization infeasibility, and consider a finer λ grid for a cleaner trade-off frontier.</w:t>
      </w:r>
    </w:p>
    <w:sectPr>
      <w:pgSz w:w="12240" w:h="15840" w:orient="portrait"/>
      <w:pgMar w:top="1080" w:right="1080" w:bottom="1080" w:left="108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image" Target="media/a16a19aeca10152d8883d36c0995a7b22e6dcd59.png"/><Relationship Id="rId8" Type="http://schemas.openxmlformats.org/officeDocument/2006/relationships/image" Target="media/1031c6f2e063d8e3046230ab11bce1950da0963a.png"/><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2026-07-24T15:41:54.819Z</dcterms:created>
  <dcterms:modified xsi:type="dcterms:W3CDTF">2026-07-24T15:41:54.829Z</dcterms:modified>
</cp:coreProperties>
</file>

<file path=docProps/custom.xml><?xml version="1.0" encoding="utf-8"?>
<Properties xmlns="http://schemas.openxmlformats.org/officeDocument/2006/custom-properties" xmlns:vt="http://schemas.openxmlformats.org/officeDocument/2006/docPropsVTypes"/>
</file>