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F3A5F"/>
          <w:sz w:val="36"/>
        </w:rPr>
        <w:t>Engine Condition Prediction from Sensor Data</w:t>
      </w:r>
    </w:p>
    <w:p>
      <w:pPr>
        <w:spacing w:after="240"/>
        <w:jc w:val="center"/>
      </w:pPr>
      <w:r>
        <w:rPr>
          <w:i/>
          <w:sz w:val="22"/>
        </w:rPr>
        <w:t>An MLP Classifier for Binary Engine Health Prediction  |  Exam 3 — Own ML Project</w:t>
      </w:r>
    </w:p>
    <w:p>
      <w:pPr>
        <w:pStyle w:val="Heading1"/>
      </w:pPr>
      <w:r>
        <w:rPr>
          <w:color w:val="1F3A5F"/>
          <w:sz w:val="28"/>
        </w:rPr>
        <w:t>1. Problem Relevance</w:t>
      </w:r>
    </w:p>
    <w:p>
      <w:pPr>
        <w:spacing w:after="80"/>
      </w:pPr>
      <w:r>
        <w:rPr>
          <w:b w:val="0"/>
          <w:i w:val="0"/>
          <w:sz w:val="21"/>
        </w:rPr>
        <w:t>This project predicts binary Engine Condition (0/1) from six live engine sensor readings (RPM, lubricating oil pressure, fuel pressure, coolant pressure, lubricating oil temperature, coolant temperature) — the automotive counterpart to industrial predictive maintenance, using sensor channels comparable to standard OBD-II telemetry. The relevant stakeholders are fleet operators, telematics services, and ultimately driver-facing dashboard warnings: detecting engine problems from sensor drift before a breakdown or safety incident is a directly actionable use of classification. Critically, a false negative (predicting “fine” when the engine is actually in trouble) is a more serious failure mode than a false positive — this asymmetry motivates the per-class, threshold-aware evaluation approach used throughout Section 5 rather than reporting accuracy alone.</w:t>
      </w:r>
    </w:p>
    <w:p>
      <w:pPr>
        <w:pStyle w:val="Heading1"/>
      </w:pPr>
      <w:r>
        <w:rPr>
          <w:color w:val="1F3A5F"/>
          <w:sz w:val="28"/>
        </w:rPr>
        <w:t>2. Data Choice</w:t>
      </w:r>
    </w:p>
    <w:p>
      <w:pPr>
        <w:spacing w:after="80"/>
      </w:pPr>
      <w:r>
        <w:rPr>
          <w:b w:val="0"/>
          <w:i w:val="0"/>
          <w:sz w:val="21"/>
        </w:rPr>
        <w:t>Source: an automotive engine-health / predictive-maintenance dataset (Kaggle-family; exact original authorship and collection methodology are undocumented — see Section 6). 19,535 rows × 7 columns (6 features + binary label), one row per sensor snapshot.</w:t>
      </w:r>
    </w:p>
    <w:p>
      <w:pPr>
        <w:spacing w:after="120"/>
      </w:pPr>
      <w:r>
        <w:rPr>
          <w:b w:val="0"/>
          <w:i w:val="0"/>
          <w:sz w:val="21"/>
        </w:rPr>
        <w:t>This dataset was selected over an earlier-considered 500k-row synthetic factory-sensor dataset because that dataset's Operational_Hours feature alone correlated at r=−0.985 with the target, leaving little room for a nonlinear model to add value. Here, by contrast, every individual feature correlates weakly with the label (|r| &lt; 0.27; audit below), so the label depends on a genuinely multivariate, nonlinear combination — a setting where an MLP has real headroom to outperform a linear baseline.</w:t>
      </w:r>
    </w:p>
    <w:p>
      <w:pPr>
        <w:pStyle w:val="Heading3"/>
      </w:pPr>
      <w:r>
        <w:rPr>
          <w:color w:val="1F3A5F"/>
          <w:sz w:val="22"/>
        </w:rPr>
        <w:t>Data Quality Audit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160"/>
            <w:shd w:fill="1F3A5F"/>
          </w:tcPr>
          <w:p>
            <w:r/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4032"/>
            <w:shd w:fill="1F3A5F"/>
          </w:tcPr>
          <w:p>
            <w:r/>
            <w:r>
              <w:rPr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3168"/>
            <w:shd w:fill="1F3A5F"/>
          </w:tcPr>
          <w:p>
            <w:r/>
            <w:r>
              <w:rPr>
                <w:b/>
                <w:color w:val="FFFFFF"/>
                <w:sz w:val="19"/>
              </w:rPr>
              <w:t>Consequence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Missing values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None (7/7 columns)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No imputation needed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Duplicate rows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None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No deduplication needed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Physically impossible values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None (no negative pressures/temps)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No hard cleaning needed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Class balance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63% class 1 / 37% class 0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Motivates class-weighted loss (§3)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Feature–label correlation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All weak: Engine rpm strongest (r=−0.27)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No single dominant feature; genuinely multivariate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IQR outlier scan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lub oil temp flags 13.4% (tight natural range, not errors)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No rows removed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Extreme value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1 row: Coolant temp = 195.5°C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Kept — plausible rare overheating event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Label semantics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Undocumented which of 0/1 = healthy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Reported symmetrically per class (§5, §6)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3A5F"/>
          <w:sz w:val="22"/>
        </w:rPr>
        <w:t>Expected Limitations</w:t>
      </w:r>
    </w:p>
    <w:p>
      <w:pPr>
        <w:pStyle w:val="ListBullet"/>
        <w:spacing w:after="40"/>
      </w:pPr>
      <w:r>
        <w:rPr>
          <w:sz w:val="21"/>
        </w:rPr>
        <w:t>No documented label semantics or collection methodology (real fleet telemetry vs. bench rig vs. partially synthetic is unknown).</w:t>
      </w:r>
    </w:p>
    <w:p>
      <w:pPr>
        <w:pStyle w:val="ListBullet"/>
        <w:spacing w:after="40"/>
      </w:pPr>
      <w:r>
        <w:rPr>
          <w:sz w:val="21"/>
        </w:rPr>
        <w:t>Only 6 sensor channels; production OBD-II systems expose more (throttle position, O2 sensor, battery voltage, etc.).</w:t>
      </w:r>
    </w:p>
    <w:p>
      <w:pPr>
        <w:pStyle w:val="ListBullet"/>
        <w:spacing w:after="40"/>
      </w:pPr>
      <w:r>
        <w:rPr>
          <w:sz w:val="21"/>
        </w:rPr>
        <w:t>19,535 rows is workable but modest for a 6-feature nonlinear model — makes regularization a load-bearing design decision, not a formality.</w:t>
      </w:r>
    </w:p>
    <w:p>
      <w:pPr>
        <w:pStyle w:val="ListBullet"/>
        <w:spacing w:after="40"/>
      </w:pPr>
      <w:r>
        <w:rPr>
          <w:sz w:val="21"/>
        </w:rPr>
        <w:t>Single-snapshot rows (no per-vehicle time series), so sequence models (RNN/Transformer) are not a natural fit for this file.</w:t>
      </w:r>
    </w:p>
    <w:p>
      <w:pPr>
        <w:pStyle w:val="Heading1"/>
      </w:pPr>
      <w:r>
        <w:rPr>
          <w:color w:val="1F3A5F"/>
          <w:sz w:val="28"/>
        </w:rPr>
        <w:t>3. Model Setup: Preprocessing &amp; Architecture</w:t>
      </w:r>
    </w:p>
    <w:p>
      <w:pPr>
        <w:spacing w:after="80"/>
      </w:pPr>
      <w:r>
        <w:rPr>
          <w:b w:val="0"/>
          <w:i w:val="0"/>
          <w:sz w:val="21"/>
        </w:rPr>
        <w:t>Pipeline: stratified 70/15/15 train/val/test split (seed 42, stratified on Engine Condition to preserve the 63/37 ratio across splits) → StandardScaler fit on train only, applied to all splits → class-weighted loss (pos_weight in BCEWithLogitsLoss) to counteract the imbalance at the loss level. Gaussian noise jitter (σ=0.05, standardized units, train-only, applied fresh per mini-batch) is tested as an additional regularizer, given the dataset's modest size relative to a 6-feature nonlinear model — its effect is measured directly as an ablation in Section 4/5.5 rather than assumed.</w:t>
      </w:r>
    </w:p>
    <w:p>
      <w:pPr>
        <w:spacing w:after="80"/>
      </w:pPr>
      <w:r>
        <w:rPr>
          <w:b w:val="0"/>
          <w:i w:val="0"/>
          <w:sz w:val="21"/>
        </w:rPr>
        <w:t>Architecture (EngineConditionMLP, 993 parameters): tabular, non-sequential, non-spatial data (6 independent sensor readings per snapshot, no grid structure, no temporal ordering across rows) makes a fully-connected feedforward network the appropriate choice over a CNN or RNN.</w:t>
      </w:r>
    </w:p>
    <w:p>
      <w:pPr>
        <w:spacing w:after="120"/>
      </w:pPr>
      <w:r>
        <w:rPr>
          <w:rFonts w:ascii="Consolas" w:hAnsi="Consolas"/>
          <w:sz w:val="18"/>
        </w:rPr>
        <w:t>Input(6, standardized)</w:t>
        <w:br/>
        <w:t xml:space="preserve">  -&gt; Linear(6-&gt;32) -&gt; BatchNorm1d -&gt; ReLU -&gt; Dropout(0.3)</w:t>
        <w:br/>
        <w:t xml:space="preserve">  -&gt; Linear(32-&gt;16) -&gt; BatchNorm1d -&gt; ReLU -&gt; Dropout(0.2)</w:t>
        <w:br/>
        <w:t xml:space="preserve">  -&gt; Linear(16-&gt;8) -&gt; ReLU</w:t>
        <w:br/>
        <w:t xml:space="preserve">  -&gt; Linear(8-&gt;1)  [raw logit]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160"/>
            <w:shd w:fill="1F3A5F"/>
          </w:tcPr>
          <w:p>
            <w:r/>
            <w:r>
              <w:rPr>
                <w:b/>
                <w:color w:val="FFFFFF"/>
                <w:sz w:val="19"/>
              </w:rPr>
              <w:t>Design choice</w:t>
            </w:r>
          </w:p>
        </w:tc>
        <w:tc>
          <w:tcPr>
            <w:tcW w:type="dxa" w:w="3312"/>
            <w:shd w:fill="1F3A5F"/>
          </w:tcPr>
          <w:p>
            <w:r/>
            <w:r>
              <w:rPr>
                <w:b/>
                <w:color w:val="FFFFFF"/>
                <w:sz w:val="19"/>
              </w:rPr>
              <w:t>Setting</w:t>
            </w:r>
          </w:p>
        </w:tc>
        <w:tc>
          <w:tcPr>
            <w:tcW w:type="dxa" w:w="3888"/>
            <w:shd w:fill="1F3A5F"/>
          </w:tcPr>
          <w:p>
            <w:r/>
            <w:r>
              <w:rPr>
                <w:b/>
                <w:color w:val="FFFFFF"/>
                <w:sz w:val="19"/>
              </w:rPr>
              <w:t>Reasoning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Output / loss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Linear logit + BCEWithLogitsLoss(pos_weight)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Numerically stable sigmoid+BCE; pos_weight up-weights minority class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Hidden activation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ReLU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Avoids vanishing-gradient saturation; standard default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Optimizer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Adam, lr=1e-3, weight_decay=1e-4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Adaptive per-parameter rates; weight_decay adds an L2 smoothness prior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Batch size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32, mini-batch SGD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More gradient updates/epoch on a comparatively small (13.6k-row) train set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Dropout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0.3 / 0.2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Higher than a larger-data setting would need — smaller dataset raises overfitting risk per parameter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Early stopping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Patience 15 on val loss</w:t>
            </w:r>
          </w:p>
        </w:tc>
        <w:tc>
          <w:tcPr>
            <w:tcW w:type="dxa" w:w="3888"/>
          </w:tcPr>
          <w:p>
            <w:r/>
            <w:r>
              <w:rPr>
                <w:sz w:val="19"/>
              </w:rPr>
              <w:t>Textbook overfitting countermeasure; training here converged in 39 epochs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F3A5F"/>
          <w:sz w:val="28"/>
        </w:rPr>
        <w:t>4. Baselines vs. Final Model</w:t>
      </w:r>
    </w:p>
    <w:p>
      <w:pPr>
        <w:spacing w:after="80"/>
      </w:pPr>
      <w:r>
        <w:rPr>
          <w:b w:val="0"/>
          <w:i w:val="0"/>
          <w:sz w:val="21"/>
        </w:rPr>
        <w:t>Baseline: logistic regression (class_weight='balanced'), on the same scaled 6-feature input, plus a single-feature (Engine rpm only) variant to confirm no individual feature is close to sufficient. Four models were trained and evaluated on the held-out test set (n=2,931):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3456"/>
            <w:shd w:fill="1F3A5F"/>
          </w:tcPr>
          <w:p>
            <w:r/>
            <w:r>
              <w:rPr>
                <w:b/>
                <w:color w:val="FFFFFF"/>
                <w:sz w:val="19"/>
              </w:rPr>
              <w:t>Model</w:t>
            </w:r>
          </w:p>
        </w:tc>
        <w:tc>
          <w:tcPr>
            <w:tcW w:type="dxa" w:w="864"/>
            <w:shd w:fill="1F3A5F"/>
          </w:tcPr>
          <w:p>
            <w:r/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864"/>
            <w:shd w:fill="1F3A5F"/>
          </w:tcPr>
          <w:p>
            <w:r/>
            <w:r>
              <w:rPr>
                <w:b/>
                <w:color w:val="FFFFFF"/>
                <w:sz w:val="19"/>
              </w:rPr>
              <w:t>Acc</w:t>
            </w:r>
          </w:p>
        </w:tc>
        <w:tc>
          <w:tcPr>
            <w:tcW w:type="dxa" w:w="1224"/>
            <w:shd w:fill="1F3A5F"/>
          </w:tcPr>
          <w:p>
            <w:r/>
            <w:r>
              <w:rPr>
                <w:b/>
                <w:color w:val="FFFFFF"/>
                <w:sz w:val="19"/>
              </w:rPr>
              <w:t>Recall(0)</w:t>
            </w:r>
          </w:p>
        </w:tc>
        <w:tc>
          <w:tcPr>
            <w:tcW w:type="dxa" w:w="1224"/>
            <w:shd w:fill="1F3A5F"/>
          </w:tcPr>
          <w:p>
            <w:r/>
            <w:r>
              <w:rPr>
                <w:b/>
                <w:color w:val="FFFFFF"/>
                <w:sz w:val="19"/>
              </w:rPr>
              <w:t>Recall(1)</w:t>
            </w:r>
          </w:p>
        </w:tc>
        <w:tc>
          <w:tcPr>
            <w:tcW w:type="dxa" w:w="1008"/>
            <w:shd w:fill="1F3A5F"/>
          </w:tcPr>
          <w:p>
            <w:r/>
            <w:r>
              <w:rPr>
                <w:b/>
                <w:color w:val="FFFFFF"/>
                <w:sz w:val="19"/>
              </w:rPr>
              <w:t>F1(0)</w:t>
            </w:r>
          </w:p>
        </w:tc>
        <w:tc>
          <w:tcPr>
            <w:tcW w:type="dxa" w:w="1008"/>
            <w:shd w:fill="1F3A5F"/>
          </w:tcPr>
          <w:p>
            <w:r/>
            <w:r>
              <w:rPr>
                <w:b/>
                <w:color w:val="FFFFFF"/>
                <w:sz w:val="19"/>
              </w:rPr>
              <w:t>F1(1)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LR — full features (baseline)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0.696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0.651</w:t>
            </w:r>
          </w:p>
        </w:tc>
        <w:tc>
          <w:tcPr>
            <w:tcW w:type="dxa" w:w="1224"/>
          </w:tcPr>
          <w:p>
            <w:r/>
            <w:r>
              <w:rPr>
                <w:sz w:val="19"/>
              </w:rPr>
              <w:t>0.605</w:t>
            </w:r>
          </w:p>
        </w:tc>
        <w:tc>
          <w:tcPr>
            <w:tcW w:type="dxa" w:w="1224"/>
          </w:tcPr>
          <w:p>
            <w:r/>
            <w:r>
              <w:rPr>
                <w:sz w:val="19"/>
              </w:rPr>
              <w:t>0.678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0.562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0.710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LR — Engine rpm only (baseline)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0.669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0.636</w:t>
            </w:r>
          </w:p>
        </w:tc>
        <w:tc>
          <w:tcPr>
            <w:tcW w:type="dxa" w:w="1224"/>
          </w:tcPr>
          <w:p>
            <w:r/>
            <w:r>
              <w:rPr>
                <w:sz w:val="19"/>
              </w:rPr>
              <w:t>0.571</w:t>
            </w:r>
          </w:p>
        </w:tc>
        <w:tc>
          <w:tcPr>
            <w:tcW w:type="dxa" w:w="1224"/>
          </w:tcPr>
          <w:p>
            <w:r/>
            <w:r>
              <w:rPr>
                <w:sz w:val="19"/>
              </w:rPr>
              <w:t>0.674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0.537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0.700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MLP — no augmentation (final model)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0.700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0.636</w:t>
            </w:r>
          </w:p>
        </w:tc>
        <w:tc>
          <w:tcPr>
            <w:tcW w:type="dxa" w:w="1224"/>
          </w:tcPr>
          <w:p>
            <w:r/>
            <w:r>
              <w:rPr>
                <w:sz w:val="19"/>
              </w:rPr>
              <w:t>0.729</w:t>
            </w:r>
          </w:p>
        </w:tc>
        <w:tc>
          <w:tcPr>
            <w:tcW w:type="dxa" w:w="1224"/>
          </w:tcPr>
          <w:p>
            <w:r/>
            <w:r>
              <w:rPr>
                <w:sz w:val="19"/>
              </w:rPr>
              <w:t>0.581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0.597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0.668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MLP — with Gaussian jitter (ablation)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0.698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0.628</w:t>
            </w:r>
          </w:p>
        </w:tc>
        <w:tc>
          <w:tcPr>
            <w:tcW w:type="dxa" w:w="1224"/>
          </w:tcPr>
          <w:p>
            <w:r/>
            <w:r>
              <w:rPr>
                <w:sz w:val="19"/>
              </w:rPr>
              <w:t>0.729</w:t>
            </w:r>
          </w:p>
        </w:tc>
        <w:tc>
          <w:tcPr>
            <w:tcW w:type="dxa" w:w="1224"/>
          </w:tcPr>
          <w:p>
            <w:r/>
            <w:r>
              <w:rPr>
                <w:sz w:val="19"/>
              </w:rPr>
              <w:t>0.568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0.592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0.658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  <w:sz w:val="19"/>
        </w:rPr>
        <w:t>Prior exploratory work on this dataset (see project history) additionally trained Random Forest (300 trees, AUC 0.685) and Gradient Boosting (300 trees, AUC 0.700, and AUC 0.700 again after adding 6 engineered interaction/ratio features) — all cluster within the same ~0.70 band, corroborating the ceiling discussed in Section 5.</w:t>
      </w:r>
    </w:p>
    <w:p>
      <w:pPr>
        <w:spacing w:after="80"/>
      </w:pPr>
      <w:r>
        <w:rPr>
          <w:b w:val="0"/>
          <w:i w:val="0"/>
          <w:sz w:val="21"/>
        </w:rPr>
        <w:t>Selection: the MLP without augmentation is the final model. It achieves the highest AUC (0.700) among the reproducible models and, more importantly given the imbalance, lifts class-0 recall from 60.5% (LR) to 72.9% — directly addressing the poor minority-class recall the baseline exposed — at the cost of class-1 recall (58.1% vs. 67.8% for LR). Whether this trade-off is desirable depends on the unresolved label-semantics question (Section 6). The augmented variant is reported but not selected as final: it scores marginally lower on every metric (AUC 0.698 vs. 0.700), an honest negative ablation result discussed further in Section 5.5.</w:t>
      </w:r>
    </w:p>
    <w:p>
      <w:pPr>
        <w:pStyle w:val="Heading1"/>
      </w:pPr>
      <w:r>
        <w:rPr>
          <w:color w:val="1F3A5F"/>
          <w:sz w:val="28"/>
        </w:rPr>
        <w:t>5. Evaluation</w:t>
      </w:r>
    </w:p>
    <w:p>
      <w:pPr>
        <w:pStyle w:val="Heading3"/>
      </w:pPr>
      <w:r>
        <w:rPr>
          <w:color w:val="1F3A5F"/>
          <w:sz w:val="22"/>
        </w:rPr>
        <w:t>5.1 Metric Selection — What and Why</w:t>
      </w:r>
    </w:p>
    <w:p>
      <w:pPr>
        <w:pStyle w:val="ListBullet"/>
        <w:spacing w:after="40"/>
      </w:pPr>
      <w:r>
        <w:rPr>
          <w:sz w:val="21"/>
        </w:rPr>
        <w:t>Accuracy — reported, but explicitly not the headline metric: a trivial always-predict-class-1 model already scores 63% given the imbalance, while carrying zero discriminative value.</w:t>
      </w:r>
    </w:p>
    <w:p>
      <w:pPr>
        <w:pStyle w:val="ListBullet"/>
        <w:spacing w:after="40"/>
      </w:pPr>
      <w:r>
        <w:rPr>
          <w:sz w:val="21"/>
        </w:rPr>
        <w:t>Per-class Precision/Recall/F1 (not macro-averaged) — required for two reasons: macro-averaging would let the majority class mask minority-class performance, and the label-semantics ambiguity (Section 6) means either class could be the operationally important one, so both are shown symmetrically.</w:t>
      </w:r>
    </w:p>
    <w:p>
      <w:pPr>
        <w:pStyle w:val="ListBullet"/>
        <w:spacing w:after="40"/>
      </w:pPr>
      <w:r>
        <w:rPr>
          <w:sz w:val="21"/>
        </w:rPr>
        <w:t>Confusion matrix — makes the false-negative/false-positive split directly visible, which is the operationally relevant trade-off given the safety framing in Section 1 (a missed fault is worse than a false alarm).</w:t>
      </w:r>
    </w:p>
    <w:p>
      <w:pPr>
        <w:pStyle w:val="ListBullet"/>
        <w:spacing w:after="40"/>
      </w:pPr>
      <w:r>
        <w:rPr>
          <w:sz w:val="21"/>
        </w:rPr>
        <w:t>ROC-AUC — threshold-independent, so LR and MLP can be compared on equal footing regardless of where each model's decision threshold happens to sit.</w:t>
      </w:r>
    </w:p>
    <w:p>
      <w:pPr>
        <w:pStyle w:val="Heading3"/>
      </w:pPr>
      <w:r>
        <w:rPr>
          <w:color w:val="1F3A5F"/>
          <w:sz w:val="22"/>
        </w:rPr>
        <w:t>5.2 Results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1463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c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6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sz w:val="18"/>
        </w:rPr>
        <w:t>Figure 1. Confusion matrices, test set (n=2,931), all four models.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108960" cy="3108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sz w:val="18"/>
        </w:rPr>
        <w:t>Figure 2. ROC curves, test set.</w:t>
      </w:r>
    </w:p>
    <w:p>
      <w:pPr>
        <w:pStyle w:val="Heading3"/>
      </w:pPr>
      <w:r>
        <w:rPr>
          <w:color w:val="1F3A5F"/>
          <w:sz w:val="22"/>
        </w:rPr>
        <w:t>5.3 Failure Case: RPM-Band Accuracy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584"/>
            <w:shd w:fill="1F3A5F"/>
          </w:tcPr>
          <w:p>
            <w:r/>
            <w:r>
              <w:rPr>
                <w:b/>
                <w:color w:val="FFFFFF"/>
                <w:sz w:val="19"/>
              </w:rPr>
              <w:t>RPM quartile</w:t>
            </w:r>
          </w:p>
        </w:tc>
        <w:tc>
          <w:tcPr>
            <w:tcW w:type="dxa" w:w="2304"/>
            <w:shd w:fill="1F3A5F"/>
          </w:tcPr>
          <w:p>
            <w:r/>
            <w:r>
              <w:rPr>
                <w:b/>
                <w:color w:val="FFFFFF"/>
                <w:sz w:val="19"/>
              </w:rPr>
              <w:t>RPM range</w:t>
            </w:r>
          </w:p>
        </w:tc>
        <w:tc>
          <w:tcPr>
            <w:tcW w:type="dxa" w:w="1008"/>
            <w:shd w:fill="1F3A5F"/>
          </w:tcPr>
          <w:p>
            <w:r/>
            <w:r>
              <w:rPr>
                <w:b/>
                <w:color w:val="FFFFFF"/>
                <w:sz w:val="19"/>
              </w:rPr>
              <w:t>n</w:t>
            </w:r>
          </w:p>
        </w:tc>
        <w:tc>
          <w:tcPr>
            <w:tcW w:type="dxa" w:w="1872"/>
            <w:shd w:fill="1F3A5F"/>
          </w:tcPr>
          <w:p>
            <w:r/>
            <w:r>
              <w:rPr>
                <w:b/>
                <w:color w:val="FFFFFF"/>
                <w:sz w:val="19"/>
              </w:rPr>
              <w:t>MLP accuracy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Q1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77–591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729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0.790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Q2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591–748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736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0.663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Q3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748–943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732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0.545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Q4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943–2191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734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0.545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1"/>
        </w:rPr>
        <w:t>MLP accuracy is far from uniform across the input space: it falls from 79.0% in the lowest RPM quartile to 54.5% in the highest — near chance level. The model's aggregate 63.6% test accuracy therefore hides a strong RPM-dependent failure mode, which any deployment threshold or confidence estimate would need to account for.</w:t>
      </w:r>
    </w:p>
    <w:p>
      <w:pPr>
        <w:pStyle w:val="Heading3"/>
      </w:pPr>
      <w:r>
        <w:rPr>
          <w:color w:val="1F3A5F"/>
          <w:sz w:val="22"/>
        </w:rPr>
        <w:t>5.4 Interpretation: Permutation Importance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27170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mutation_import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17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sz w:val="18"/>
        </w:rPr>
        <w:t>Figure 3. Mean AUC drop when each feature is shuffled (MLP, no augmentation, 10 repeats).</w:t>
      </w:r>
    </w:p>
    <w:p>
      <w:pPr>
        <w:spacing w:after="80"/>
      </w:pPr>
      <w:r>
        <w:rPr>
          <w:b w:val="0"/>
          <w:i w:val="0"/>
          <w:sz w:val="21"/>
        </w:rPr>
        <w:t>Engine rpm dominates (mean AUC drop 0.135) — roughly 4.6x the next-ranked feature, Fuel pressure (0.030). This is consistent with the correlation audit (Section 2), where Engine rpm was also the strongest individual correlate — the trained MLP concentrates decision-relevant signal on the same feature the linear audit flagged, rather than spreading importance broadly across all six inputs.</w:t>
      </w:r>
    </w:p>
    <w:p>
      <w:pPr>
        <w:pStyle w:val="Heading3"/>
      </w:pPr>
      <w:r>
        <w:rPr>
          <w:color w:val="1F3A5F"/>
          <w:sz w:val="22"/>
        </w:rPr>
        <w:t>5.5 Augmentation Ablation</w:t>
      </w:r>
    </w:p>
    <w:p>
      <w:pPr>
        <w:spacing w:after="80"/>
      </w:pPr>
      <w:r>
        <w:rPr>
          <w:b w:val="0"/>
          <w:i w:val="0"/>
          <w:sz w:val="21"/>
        </w:rPr>
        <w:t>Gaussian jitter (σ=0.05, train-only) was tested as a regularizer and produced a small negative result: AUC 0.698 vs. 0.700 without it, with every other metric also slightly lower (Section 4 table). Reported honestly rather than omitted — the most likely explanation is that dropout, batch normalization, and weight decay already sufficiently regularize this 993-parameter model on 13,674 training rows, leaving no headroom for jitter to add value, and instead just adding noise the model has to fit around.</w:t>
      </w:r>
    </w:p>
    <w:p>
      <w:pPr>
        <w:pStyle w:val="Heading1"/>
      </w:pPr>
      <w:r>
        <w:rPr>
          <w:color w:val="1F3A5F"/>
          <w:sz w:val="28"/>
        </w:rPr>
        <w:t>6. Limitations</w:t>
      </w:r>
    </w:p>
    <w:p>
      <w:pPr>
        <w:pStyle w:val="ListBullet"/>
        <w:spacing w:after="40"/>
      </w:pPr>
      <w:r>
        <w:rPr>
          <w:sz w:val="21"/>
        </w:rPr>
        <w:t>Label semantics unconfirmed: no documentation establishes whether Engine Condition=0 means healthy or faulty. This directly limits how the class-0/class-1 recall trade-off in Section 4 should be read — results are reported symmetrically rather than assuming a direction.</w:t>
      </w:r>
    </w:p>
    <w:p>
      <w:pPr>
        <w:pStyle w:val="ListBullet"/>
        <w:spacing w:after="40"/>
      </w:pPr>
      <w:r>
        <w:rPr>
          <w:sz w:val="21"/>
        </w:rPr>
        <w:t>Performance ceiling (~AUC 0.70): confirmed as a data information ceiling, not a modeling shortfall — logistic regression, random forest, gradient boosting (with and without engineered features), and the MLP all cluster within a few points of 0.70 (Section 4). No amount of further architecture tuning on these 6 features is expected to move this materially.</w:t>
      </w:r>
    </w:p>
    <w:p>
      <w:pPr>
        <w:pStyle w:val="ListBullet"/>
        <w:spacing w:after="40"/>
      </w:pPr>
      <w:r>
        <w:rPr>
          <w:sz w:val="21"/>
        </w:rPr>
        <w:t>No documented data provenance or collection methodology — unclear whether this is real fleet telemetry, a bench rig, or partially synthetic; reported figures should be read as a methodology demonstration rather than a deployability claim.</w:t>
      </w:r>
    </w:p>
    <w:p>
      <w:pPr>
        <w:pStyle w:val="ListBullet"/>
        <w:spacing w:after="40"/>
      </w:pPr>
      <w:r>
        <w:rPr>
          <w:sz w:val="21"/>
        </w:rPr>
        <w:t>Only 6 sensor channels — real OBD-II systems expose more signal (throttle position, O2 sensor, battery voltage); a production system would likely have a higher achievable ceiling.</w:t>
      </w:r>
    </w:p>
    <w:p>
      <w:pPr>
        <w:pStyle w:val="ListBullet"/>
        <w:spacing w:after="40"/>
      </w:pPr>
      <w:r>
        <w:rPr>
          <w:sz w:val="21"/>
        </w:rPr>
        <w:t>Dataset size (19,535 rows) is modest for a 6-feature nonlinear model — mitigated by the regularization stack (Section 3) but still a real constraint on usable model capacity.</w:t>
      </w:r>
    </w:p>
    <w:p>
      <w:pPr>
        <w:pStyle w:val="ListBullet"/>
        <w:spacing w:after="40"/>
      </w:pPr>
      <w:r>
        <w:rPr>
          <w:sz w:val="21"/>
        </w:rPr>
        <w:t>Single-snapshot rows (no per-vehicle time series) rule out sequence models (RNN/Transformer) for this data, despite their relevance to the broader model-family comparison (Theoretical Q1).</w:t>
      </w:r>
    </w:p>
    <w:p>
      <w:pPr>
        <w:pStyle w:val="Heading1"/>
      </w:pPr>
      <w:r>
        <w:rPr>
          <w:color w:val="1F3A5F"/>
          <w:sz w:val="28"/>
        </w:rPr>
        <w:t>7. Conclusion — Was This Data and Setup the Right Choice?</w:t>
      </w:r>
    </w:p>
    <w:p>
      <w:pPr>
        <w:spacing w:after="80"/>
      </w:pPr>
      <w:r>
        <w:rPr>
          <w:b w:val="0"/>
          <w:i w:val="0"/>
          <w:sz w:val="21"/>
        </w:rPr>
        <w:t>Largely yes, for the stated goal. The dataset's weak individual feature correlations and a clearly-beatable linear baseline (AUC 0.696–0.669) gave the MLP a genuine, non-trivial bar to clear — unlike an initially-considered alternative dataset where a single feature nearly solved the task outright. The MLP's small capacity (993 parameters, matched to a 6-feature input), class-weighted loss, and regularization stack were appropriate choices for a 19.5k-row, moderately-imbalanced tabular problem, and the augmentation ablation shows those regularization choices were validated empirically rather than assumed.</w:t>
      </w:r>
    </w:p>
    <w:p>
      <w:pPr>
        <w:spacing w:after="80"/>
      </w:pPr>
      <w:r>
        <w:rPr>
          <w:b w:val="0"/>
          <w:i w:val="0"/>
          <w:sz w:val="21"/>
        </w:rPr>
        <w:t>The setup's limitation is the data, not the model: six weakly-correlated sensor channels impose an AUC ≈ 0.70 ceiling that held across every model family tested. Given the safety-relevant framing in Section 1, the honest conclusion is that this feature set alone is not sufficient for high-confidence deployment — the productive next step is more sensor channels or per-vehicle time-series data (which would motivate revisiting the RNN/Transformer family from Theoretical Q1), not further tuning of the current architecture.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