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KADIKÖY MAĞAZASI AÇILIŞ ÇEKİLİŞİ KOŞULLARI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KATILIM ŞARTLARI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- 18 yaşından büyük olmak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Tek seferde 250 TL ve üzeri alışveriş yapmak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Çekiliş formunu eksiksiz doldurmak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T.C. vatandaşı olmak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ÇEKİLİŞ HEDİYELERİ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Ödüller: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- 5 kişiye Nike Air Max 2024 (Dilediği renk ve numara)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- 5 kişiye Adidas Ultraboost 24 (Dilediği renk ve numara)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- 5 kişiye 2.500 TL değerinde alışveriş çeki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- 10 kişiye 1.000 TL değerinde alışveriş çeki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- 20 kişiye 500 TL değerinde alışveriş çeki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ÇEKİLİŞ DETAYLARI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Çekiliş Tarihi: 25 Kasım 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Çekiliş Saati: 16:00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Çekiliş Yeri: Kadıköy Mağazası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Noter Huzurunda Yapılacaktır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KAZANANLARIN BİLGİLENDİRİLMESİ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SMS ile bilgilendirme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E-posta ile bilgilendirme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Web sitesinde ilan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Mağaza içi ilan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ÖDÜLLERİN TESLİMİ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Kimlik ibrazı zorunludur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- 30 gün içinde teslim alınmalıdır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Başkasına devredilemez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Nakde çevrilemez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DİĞER KOŞULLAR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Çalışanlar ve birinci derece yakınları katılamaz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Bir kişi birden fazla ödül kazanamaz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Eksik/hatalı bilgi verenler diskalifiye edilir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