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B5451B"/>
          <w:sz w:val="52"/>
        </w:rPr>
        <w:t>🎉 OFİS UYGULAMALARI ETKİNLİĞİ 🎉</w:t>
      </w:r>
    </w:p>
    <w:p/>
    <w:p>
      <w:pPr>
        <w:jc w:val="center"/>
      </w:pPr>
      <w:r>
        <w:rPr>
          <w:sz w:val="24"/>
        </w:rPr>
        <w:t>Mesleki ve Teknik Anadolu Lisesi  —  Bilişim Teknolojileri Bölümü</w:t>
      </w:r>
    </w:p>
    <w:p/>
    <w:p>
      <w:pPr>
        <w:pStyle w:val="Heading1"/>
      </w:pPr>
      <w:r>
        <w:rPr>
          <w:color w:val="1A6EA8"/>
          <w:sz w:val="32"/>
        </w:rPr>
        <w:t>Etkinlik Hakkında</w:t>
      </w:r>
    </w:p>
    <w:p>
      <w:r>
        <w:rPr>
          <w:sz w:val="22"/>
        </w:rPr>
        <w:t>Okulumuzun düzenlediği Ofis Uygulamaları Etkinliği bu yıl daha kapsamlı bir programla gerçekleştirilecektir. Etkinlikte Microsoft Word, Excel ve PowerPoint konularında atölye çalışmaları yapılacak, öğrenciler uygulamalı projeler hazırlayacaktır.</w:t>
      </w:r>
    </w:p>
    <w:p>
      <w:pPr>
        <w:pStyle w:val="Heading1"/>
      </w:pPr>
      <w:r>
        <w:rPr>
          <w:color w:val="1A6EA8"/>
          <w:sz w:val="32"/>
        </w:rPr>
        <w:t>Tarih ve Yer</w:t>
      </w:r>
    </w:p>
    <w:p>
      <w:pPr>
        <w:pStyle w:val="Heading2"/>
      </w:pPr>
      <w:r>
        <w:rPr>
          <w:color w:val="1F7A4F"/>
        </w:rPr>
        <w:t>📅 Tarih</w:t>
      </w:r>
    </w:p>
    <w:p>
      <w:r>
        <w:rPr>
          <w:sz w:val="22"/>
        </w:rPr>
        <w:t>15–16 Mart 2025, Cumartesi–Pazar</w:t>
      </w:r>
    </w:p>
    <w:p>
      <w:pPr>
        <w:pStyle w:val="Heading2"/>
      </w:pPr>
      <w:r>
        <w:rPr>
          <w:color w:val="1F7A4F"/>
        </w:rPr>
        <w:t>📍 Yer</w:t>
      </w:r>
    </w:p>
    <w:p>
      <w:r>
        <w:rPr>
          <w:sz w:val="22"/>
        </w:rPr>
        <w:t>Okul Bilgisayar Laboratuvarı ve Konferans Salonu</w:t>
      </w:r>
    </w:p>
    <w:p>
      <w:pPr>
        <w:pStyle w:val="Heading1"/>
      </w:pPr>
      <w:r>
        <w:rPr>
          <w:color w:val="1A6EA8"/>
          <w:sz w:val="32"/>
        </w:rPr>
        <w:t>Etkinlik Programı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shd w:val="clear" w:color="auto" w:fill="b5451b"/>
          </w:tcPr>
          <w:p>
            <w:pPr>
              <w:jc w:val="center"/>
            </w:pPr>
            <w:r>
              <w:rPr>
                <w:b/>
                <w:color w:val="FFFFFF"/>
              </w:rPr>
              <w:t>Saat</w:t>
            </w:r>
          </w:p>
        </w:tc>
        <w:tc>
          <w:tcPr>
            <w:tcW w:type="dxa" w:w="2268"/>
            <w:shd w:val="clear" w:color="auto" w:fill="b5451b"/>
          </w:tcPr>
          <w:p>
            <w:pPr>
              <w:jc w:val="center"/>
            </w:pPr>
            <w:r>
              <w:rPr>
                <w:b/>
                <w:color w:val="FFFFFF"/>
              </w:rPr>
              <w:t>Konu</w:t>
            </w:r>
          </w:p>
        </w:tc>
        <w:tc>
          <w:tcPr>
            <w:tcW w:type="dxa" w:w="2268"/>
            <w:shd w:val="clear" w:color="auto" w:fill="b5451b"/>
          </w:tcPr>
          <w:p>
            <w:pPr>
              <w:jc w:val="center"/>
            </w:pPr>
            <w:r>
              <w:rPr>
                <w:b/>
                <w:color w:val="FFFFFF"/>
              </w:rPr>
              <w:t>Seviye</w:t>
            </w:r>
          </w:p>
        </w:tc>
        <w:tc>
          <w:tcPr>
            <w:tcW w:type="dxa" w:w="2268"/>
            <w:shd w:val="clear" w:color="auto" w:fill="b5451b"/>
          </w:tcPr>
          <w:p>
            <w:pPr>
              <w:jc w:val="center"/>
            </w:pPr>
            <w:r>
              <w:rPr>
                <w:b/>
                <w:color w:val="FFFFFF"/>
              </w:rPr>
              <w:t>Yer</w:t>
            </w:r>
          </w:p>
        </w:tc>
      </w:tr>
      <w:tr>
        <w:tc>
          <w:tcPr>
            <w:tcW w:type="dxa" w:w="2268"/>
            <w:shd w:val="clear" w:color="auto" w:fill="fdf0ea"/>
          </w:tcPr>
          <w:p>
            <w:pPr>
              <w:jc w:val="center"/>
            </w:pPr>
            <w:r>
              <w:rPr>
                <w:sz w:val="20"/>
              </w:rPr>
              <w:t>09:00–10:30</w:t>
            </w:r>
          </w:p>
        </w:tc>
        <w:tc>
          <w:tcPr>
            <w:tcW w:type="dxa" w:w="2268"/>
            <w:shd w:val="clear" w:color="auto" w:fill="fdf0ea"/>
          </w:tcPr>
          <w:p>
            <w:pPr>
              <w:jc w:val="center"/>
            </w:pPr>
            <w:r>
              <w:rPr>
                <w:sz w:val="20"/>
              </w:rPr>
              <w:t>Word: Tablo ve Biçimlendirme</w:t>
            </w:r>
          </w:p>
        </w:tc>
        <w:tc>
          <w:tcPr>
            <w:tcW w:type="dxa" w:w="2268"/>
            <w:shd w:val="clear" w:color="auto" w:fill="fdf0ea"/>
          </w:tcPr>
          <w:p>
            <w:pPr>
              <w:jc w:val="center"/>
            </w:pPr>
            <w:r>
              <w:rPr>
                <w:sz w:val="20"/>
              </w:rPr>
              <w:t>Başlangıç</w:t>
            </w:r>
          </w:p>
        </w:tc>
        <w:tc>
          <w:tcPr>
            <w:tcW w:type="dxa" w:w="2268"/>
            <w:shd w:val="clear" w:color="auto" w:fill="fdf0ea"/>
          </w:tcPr>
          <w:p>
            <w:pPr>
              <w:jc w:val="center"/>
            </w:pPr>
            <w:r>
              <w:rPr>
                <w:sz w:val="20"/>
              </w:rPr>
              <w:t>Lab-1</w:t>
            </w:r>
          </w:p>
        </w:tc>
      </w:tr>
      <w:tr>
        <w:tc>
          <w:tcPr>
            <w:tcW w:type="dxa" w:w="2268"/>
          </w:tcPr>
          <w:p>
            <w:pPr>
              <w:jc w:val="center"/>
            </w:pPr>
            <w:r>
              <w:rPr>
                <w:sz w:val="20"/>
              </w:rPr>
              <w:t>10:30–12:00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sz w:val="20"/>
              </w:rPr>
              <w:t>Excel: Formüller ve Grafikler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sz w:val="20"/>
              </w:rPr>
              <w:t>Orta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sz w:val="20"/>
              </w:rPr>
              <w:t>Lab-2</w:t>
            </w:r>
          </w:p>
        </w:tc>
      </w:tr>
      <w:tr>
        <w:tc>
          <w:tcPr>
            <w:tcW w:type="dxa" w:w="2268"/>
            <w:shd w:val="clear" w:color="auto" w:fill="fdf0ea"/>
          </w:tcPr>
          <w:p>
            <w:pPr>
              <w:jc w:val="center"/>
            </w:pPr>
            <w:r>
              <w:rPr>
                <w:sz w:val="20"/>
              </w:rPr>
              <w:t>13:00–14:30</w:t>
            </w:r>
          </w:p>
        </w:tc>
        <w:tc>
          <w:tcPr>
            <w:tcW w:type="dxa" w:w="2268"/>
            <w:shd w:val="clear" w:color="auto" w:fill="fdf0ea"/>
          </w:tcPr>
          <w:p>
            <w:pPr>
              <w:jc w:val="center"/>
            </w:pPr>
            <w:r>
              <w:rPr>
                <w:sz w:val="20"/>
              </w:rPr>
              <w:t>PowerPoint: Animasyon</w:t>
            </w:r>
          </w:p>
        </w:tc>
        <w:tc>
          <w:tcPr>
            <w:tcW w:type="dxa" w:w="2268"/>
            <w:shd w:val="clear" w:color="auto" w:fill="fdf0ea"/>
          </w:tcPr>
          <w:p>
            <w:pPr>
              <w:jc w:val="center"/>
            </w:pPr>
            <w:r>
              <w:rPr>
                <w:sz w:val="20"/>
              </w:rPr>
              <w:t>Orta</w:t>
            </w:r>
          </w:p>
        </w:tc>
        <w:tc>
          <w:tcPr>
            <w:tcW w:type="dxa" w:w="2268"/>
            <w:shd w:val="clear" w:color="auto" w:fill="fdf0ea"/>
          </w:tcPr>
          <w:p>
            <w:pPr>
              <w:jc w:val="center"/>
            </w:pPr>
            <w:r>
              <w:rPr>
                <w:sz w:val="20"/>
              </w:rPr>
              <w:t>Konferans</w:t>
            </w:r>
          </w:p>
        </w:tc>
      </w:tr>
      <w:tr>
        <w:tc>
          <w:tcPr>
            <w:tcW w:type="dxa" w:w="2268"/>
          </w:tcPr>
          <w:p>
            <w:pPr>
              <w:jc w:val="center"/>
            </w:pPr>
            <w:r>
              <w:rPr>
                <w:sz w:val="20"/>
              </w:rPr>
              <w:t>14:30–16:00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sz w:val="20"/>
              </w:rPr>
              <w:t>Entegre Proje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sz w:val="20"/>
              </w:rPr>
              <w:t>İleri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sz w:val="20"/>
              </w:rPr>
              <w:t>Lab-1</w:t>
            </w:r>
          </w:p>
        </w:tc>
      </w:tr>
      <w:tr>
        <w:tc>
          <w:tcPr>
            <w:tcW w:type="dxa" w:w="2268"/>
            <w:shd w:val="clear" w:color="auto" w:fill="fdf0ea"/>
          </w:tcPr>
          <w:p>
            <w:pPr>
              <w:jc w:val="center"/>
            </w:pPr>
            <w:r>
              <w:rPr>
                <w:sz w:val="20"/>
              </w:rPr>
              <w:t>16:00–16:30</w:t>
            </w:r>
          </w:p>
        </w:tc>
        <w:tc>
          <w:tcPr>
            <w:tcW w:type="dxa" w:w="2268"/>
            <w:shd w:val="clear" w:color="auto" w:fill="fdf0ea"/>
          </w:tcPr>
          <w:p>
            <w:pPr>
              <w:jc w:val="center"/>
            </w:pPr>
            <w:r>
              <w:rPr>
                <w:sz w:val="20"/>
              </w:rPr>
              <w:t>Kapanış ve Ödüller</w:t>
            </w:r>
          </w:p>
        </w:tc>
        <w:tc>
          <w:tcPr>
            <w:tcW w:type="dxa" w:w="2268"/>
            <w:shd w:val="clear" w:color="auto" w:fill="fdf0ea"/>
          </w:tcPr>
          <w:p>
            <w:pPr>
              <w:jc w:val="center"/>
            </w:pPr>
            <w:r>
              <w:rPr>
                <w:sz w:val="20"/>
              </w:rPr>
              <w:t>—</w:t>
            </w:r>
          </w:p>
        </w:tc>
        <w:tc>
          <w:tcPr>
            <w:tcW w:type="dxa" w:w="2268"/>
            <w:shd w:val="clear" w:color="auto" w:fill="fdf0ea"/>
          </w:tcPr>
          <w:p>
            <w:pPr>
              <w:jc w:val="center"/>
            </w:pPr>
            <w:r>
              <w:rPr>
                <w:sz w:val="20"/>
              </w:rPr>
              <w:t>Konferans</w:t>
            </w:r>
          </w:p>
        </w:tc>
      </w:tr>
    </w:tbl>
    <w:p/>
    <w:p>
      <w:pPr>
        <w:pStyle w:val="Heading1"/>
      </w:pPr>
      <w:r>
        <w:rPr>
          <w:color w:val="1A6EA8"/>
          <w:sz w:val="32"/>
        </w:rPr>
        <w:t>Katılım Koşulları</w:t>
      </w:r>
    </w:p>
    <w:p>
      <w:pPr>
        <w:pStyle w:val="ListBullet"/>
      </w:pPr>
      <w:r>
        <w:rPr>
          <w:sz w:val="22"/>
        </w:rPr>
        <w:t>Etkinlik tüm sınıf öğrencilerine açıktır.</w:t>
      </w:r>
    </w:p>
    <w:p>
      <w:pPr>
        <w:pStyle w:val="ListBullet"/>
      </w:pPr>
      <w:r>
        <w:rPr>
          <w:sz w:val="22"/>
        </w:rPr>
        <w:t>Katılım ücretsizdir, ön kayıt gerekmektedir.</w:t>
      </w:r>
    </w:p>
    <w:p>
      <w:pPr>
        <w:pStyle w:val="ListBullet"/>
      </w:pPr>
      <w:r>
        <w:rPr>
          <w:sz w:val="22"/>
        </w:rPr>
        <w:t>Öğrencilerin flash bellek getirmesi önerilir.</w:t>
      </w:r>
    </w:p>
    <w:p>
      <w:pPr>
        <w:pStyle w:val="ListBullet"/>
      </w:pPr>
      <w:r>
        <w:rPr>
          <w:sz w:val="22"/>
        </w:rPr>
        <w:t>Her atölye için kontenjan 20 kişiyle sınırlıdır.</w:t>
      </w:r>
    </w:p>
    <w:p>
      <w:pPr>
        <w:pStyle w:val="ListBullet"/>
      </w:pPr>
      <w:r>
        <w:rPr>
          <w:sz w:val="22"/>
        </w:rPr>
        <w:t>Sertifika almak için en az 2 atölyeye katılım gereklidir.</w:t>
      </w:r>
    </w:p>
    <w:p/>
    <w:p>
      <w:pPr>
        <w:pStyle w:val="Heading2"/>
      </w:pPr>
      <w:r>
        <w:rPr>
          <w:color w:val="1F7A4F"/>
        </w:rPr>
        <w:t>İletişim</w:t>
      </w:r>
    </w:p>
    <w:p>
      <w:r>
        <w:rPr>
          <w:sz w:val="22"/>
        </w:rPr>
        <w:t>📧 E-posta: etkinlik@okul.edu.tr</w:t>
        <w:br/>
        <w:t>📞 Telefon: (0312) 555 00 00</w:t>
        <w:br/>
        <w:t>🌐 Web: www.okul.edu.tr/etkinlik</w:t>
      </w:r>
    </w:p>
    <w:sectPr w:rsidR="00FC693F" w:rsidRPr="0006063C" w:rsidSect="00034616">
      <w:pgSz w:w="11906" w:h="16838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