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pPr>
      <w:r>
        <w:rPr>
          <w:rFonts w:ascii="Calibri" w:hAnsi="Calibri"/>
          <w:b/>
          <w:i w:val="0"/>
          <w:color w:val="2E74B5"/>
          <w:sz w:val="20"/>
        </w:rPr>
        <w:t>TEKNİK BULGU NOTU</w:t>
      </w:r>
    </w:p>
    <w:p>
      <w:pPr>
        <w:spacing w:before="0" w:after="80" w:line="264" w:lineRule="auto"/>
      </w:pPr>
      <w:r>
        <w:rPr>
          <w:rFonts w:ascii="Calibri" w:hAnsi="Calibri"/>
          <w:b/>
          <w:i w:val="0"/>
          <w:color w:val="000000"/>
          <w:sz w:val="46"/>
        </w:rPr>
        <w:t>Çalışma Neden Bu Sonuca Vardı?</w:t>
      </w:r>
    </w:p>
    <w:p>
      <w:pPr>
        <w:spacing w:before="0" w:after="280" w:line="264" w:lineRule="auto"/>
      </w:pPr>
      <w:r>
        <w:rPr>
          <w:rFonts w:ascii="Calibri" w:hAnsi="Calibri"/>
          <w:b w:val="0"/>
          <w:i w:val="0"/>
          <w:color w:val="40464D"/>
          <w:sz w:val="28"/>
        </w:rPr>
        <w:t>Uzay enkazı yakınlaşma projesinin veri akışı, değerlendirme mantığı ve savunulabilir bilimsel yorumu</w:t>
      </w:r>
    </w:p>
    <w:p>
      <w:pPr>
        <w:spacing w:before="0" w:after="40" w:line="264" w:lineRule="auto"/>
      </w:pPr>
      <w:r>
        <w:rPr>
          <w:rFonts w:ascii="Calibri" w:hAnsi="Calibri"/>
          <w:b w:val="0"/>
          <w:i w:val="0"/>
          <w:color w:val="000000"/>
          <w:sz w:val="22"/>
        </w:rPr>
      </w:r>
      <w:r>
        <w:rPr>
          <w:rFonts w:ascii="Calibri" w:hAnsi="Calibri"/>
          <w:b/>
          <w:i w:val="0"/>
          <w:color w:val="000000"/>
          <w:sz w:val="21"/>
        </w:rPr>
        <w:t xml:space="preserve">Yazar: </w:t>
      </w:r>
      <w:r>
        <w:rPr>
          <w:rFonts w:ascii="Calibri" w:hAnsi="Calibri"/>
          <w:b w:val="0"/>
          <w:i w:val="0"/>
          <w:color w:val="000000"/>
          <w:sz w:val="21"/>
        </w:rPr>
        <w:t>Mustafa İsa Oruçtutan</w:t>
      </w:r>
    </w:p>
    <w:p>
      <w:pPr>
        <w:spacing w:before="0" w:after="40" w:line="264" w:lineRule="auto"/>
      </w:pPr>
      <w:r>
        <w:rPr>
          <w:rFonts w:ascii="Calibri" w:hAnsi="Calibri"/>
          <w:b w:val="0"/>
          <w:i w:val="0"/>
          <w:color w:val="000000"/>
          <w:sz w:val="22"/>
        </w:rPr>
      </w:r>
      <w:r>
        <w:rPr>
          <w:rFonts w:ascii="Calibri" w:hAnsi="Calibri"/>
          <w:b/>
          <w:i w:val="0"/>
          <w:color w:val="000000"/>
          <w:sz w:val="21"/>
        </w:rPr>
        <w:t xml:space="preserve">Makale kodu: </w:t>
      </w:r>
      <w:r>
        <w:rPr>
          <w:rFonts w:ascii="Calibri" w:hAnsi="Calibri"/>
          <w:b w:val="0"/>
          <w:i w:val="0"/>
          <w:color w:val="000000"/>
          <w:sz w:val="21"/>
        </w:rPr>
        <w:t>IAC-26-A6.IP.6</w:t>
      </w:r>
    </w:p>
    <w:p>
      <w:pPr>
        <w:spacing w:before="0" w:after="40" w:line="264" w:lineRule="auto"/>
      </w:pPr>
      <w:r>
        <w:rPr>
          <w:rFonts w:ascii="Calibri" w:hAnsi="Calibri"/>
          <w:b w:val="0"/>
          <w:i w:val="0"/>
          <w:color w:val="000000"/>
          <w:sz w:val="22"/>
        </w:rPr>
      </w:r>
      <w:r>
        <w:rPr>
          <w:rFonts w:ascii="Calibri" w:hAnsi="Calibri"/>
          <w:b/>
          <w:i w:val="0"/>
          <w:color w:val="000000"/>
          <w:sz w:val="21"/>
        </w:rPr>
        <w:t xml:space="preserve">Amaç: </w:t>
      </w:r>
      <w:r>
        <w:rPr>
          <w:rFonts w:ascii="Calibri" w:hAnsi="Calibri"/>
          <w:b w:val="0"/>
          <w:i w:val="0"/>
          <w:color w:val="000000"/>
          <w:sz w:val="21"/>
        </w:rPr>
        <w:t>Makale dışı açıklama ve sunum hazırlığı</w:t>
      </w:r>
    </w:p>
    <w:p>
      <w:pPr>
        <w:spacing w:before="0" w:after="40" w:line="264" w:lineRule="auto"/>
      </w:pPr>
      <w:r>
        <w:rPr>
          <w:rFonts w:ascii="Calibri" w:hAnsi="Calibri"/>
          <w:b w:val="0"/>
          <w:i w:val="0"/>
          <w:color w:val="000000"/>
          <w:sz w:val="22"/>
        </w:rPr>
      </w:r>
      <w:r>
        <w:rPr>
          <w:rFonts w:ascii="Calibri" w:hAnsi="Calibri"/>
          <w:b/>
          <w:i w:val="0"/>
          <w:color w:val="000000"/>
          <w:sz w:val="21"/>
        </w:rPr>
        <w:t xml:space="preserve">Durum: </w:t>
      </w:r>
      <w:r>
        <w:rPr>
          <w:rFonts w:ascii="Calibri" w:hAnsi="Calibri"/>
          <w:b w:val="0"/>
          <w:i w:val="0"/>
          <w:color w:val="000000"/>
          <w:sz w:val="21"/>
        </w:rPr>
        <w:t>Veri toplama tamamlandı; sonuçlar keşifsel</w:t>
      </w:r>
    </w:p>
    <w:p>
      <w:pPr>
        <w:pBdr>
          <w:bottom w:val="single" w:sz="16" w:space="1" w:color="2E74B5"/>
        </w:pBdr>
      </w:pPr>
    </w:p>
    <w:tbl>
      <w:tblPr>
        <w:tblW w:type="auto" w:w="0"/>
        <w:jc w:val="center"/>
        <w:tblLayout w:type="fixed"/>
        <w:tblLook w:firstColumn="1" w:firstRow="1" w:lastColumn="0" w:lastRow="0" w:noHBand="0" w:noVBand="1" w:val="04A0"/>
      </w:tblPr>
      <w:tblGrid>
        <w:gridCol w:w="9360"/>
      </w:tblGrid>
      <w:tr>
        <w:tc>
          <w:tcPr>
            <w:tcW w:type="dxa" w:w="9360"/>
            <w:vAlign w:val="center"/>
            <w:shd w:fill="E8EEF5"/>
            <w:tcMar>
              <w:top w:w="160" w:type="dxa"/>
              <w:start w:w="180" w:type="dxa"/>
              <w:bottom w:w="160" w:type="dxa"/>
              <w:end w:w="180" w:type="dxa"/>
            </w:tcMar>
          </w:tcPr>
          <w:p>
            <w:pPr>
              <w:spacing w:after="0"/>
            </w:pPr>
            <w:r>
              <w:rPr>
                <w:rFonts w:ascii="Calibri" w:hAnsi="Calibri"/>
                <w:b/>
                <w:i w:val="0"/>
                <w:color w:val="2E74B5"/>
                <w:sz w:val="22"/>
              </w:rPr>
              <w:t xml:space="preserve">Kısa cevap: </w:t>
            </w:r>
            <w:r>
              <w:rPr>
                <w:rFonts w:ascii="Calibri" w:hAnsi="Calibri"/>
                <w:b w:val="0"/>
                <w:i w:val="0"/>
                <w:color w:val="1F2933"/>
                <w:sz w:val="22"/>
              </w:rPr>
              <w:t>Başlangıç hipotezi, bu veri kümesi ve sızıntıya dayanıklı değerlendirme altında desteklenmedi. Bu, makine öğrenmesinin genel olarak işe yaramadığını değil; mevcut vekil hedef, veri kalitesi ve test protokolünde mesafe karşılaştırıcısının daha güçlü kaldığını gösterir.</w:t>
            </w:r>
          </w:p>
        </w:tc>
      </w:tr>
    </w:tbl>
    <w:p>
      <w:pPr>
        <w:pStyle w:val="Heading1"/>
      </w:pPr>
      <w:r>
        <w:t>1. Başlangıçta neyi sınadık?</w:t>
      </w:r>
    </w:p>
    <w:p>
      <w:pPr>
        <w:spacing w:before="0" w:after="120" w:line="264" w:lineRule="auto"/>
      </w:pPr>
      <w:r>
        <w:rPr>
          <w:rFonts w:ascii="Calibri" w:hAnsi="Calibri"/>
          <w:b w:val="0"/>
          <w:i w:val="0"/>
          <w:color w:val="000000"/>
          <w:sz w:val="22"/>
        </w:rPr>
        <w:t>Kabul edilen özetteki beklenti, makine öğrenmesi sınıflandırıcılarının klasik sabit mesafe yaklaşımına göre daha uyarlanabilir olacağı ve daha az yanlış alarm üreteceğiydi. Çalışmanın dürüst bilimsel görevi bu beklentiyi korumak değil, önceden belirlenen yöntemle sınamaktı.</w:t>
      </w:r>
    </w:p>
    <w:tbl>
      <w:tblPr>
        <w:tblW w:type="auto" w:w="0"/>
        <w:jc w:val="center"/>
        <w:tblLayout w:type="fixed"/>
        <w:tblLook w:firstColumn="1" w:firstRow="1" w:lastColumn="0" w:lastRow="0" w:noHBand="0" w:noVBand="1" w:val="04A0"/>
      </w:tblPr>
      <w:tblGrid>
        <w:gridCol w:w="9360"/>
      </w:tblGrid>
      <w:tr>
        <w:tc>
          <w:tcPr>
            <w:tcW w:type="dxa" w:w="9360"/>
            <w:vAlign w:val="center"/>
            <w:shd w:fill="F4F6F9"/>
            <w:tcMar>
              <w:top w:w="160" w:type="dxa"/>
              <w:start w:w="180" w:type="dxa"/>
              <w:bottom w:w="160" w:type="dxa"/>
              <w:end w:w="180" w:type="dxa"/>
            </w:tcMar>
          </w:tcPr>
          <w:p>
            <w:pPr>
              <w:spacing w:after="0"/>
            </w:pPr>
            <w:r>
              <w:rPr>
                <w:rFonts w:ascii="Calibri" w:hAnsi="Calibri"/>
                <w:b/>
                <w:i w:val="0"/>
                <w:color w:val="2E74B5"/>
                <w:sz w:val="22"/>
              </w:rPr>
              <w:t xml:space="preserve">Hipotez: </w:t>
            </w:r>
            <w:r>
              <w:rPr>
                <w:rFonts w:ascii="Calibri" w:hAnsi="Calibri"/>
                <w:b w:val="0"/>
                <w:i w:val="0"/>
                <w:color w:val="1F2933"/>
                <w:sz w:val="22"/>
              </w:rPr>
              <w:t>Makine öğrenmesi, görülmemiş katalog çiftlerinin daha sonraki gözlemlerinde sabit mesafe yönteminden daha iyi bir kesinlik-duyarlılık dengesi sağlayacaktır.</w:t>
            </w:r>
          </w:p>
        </w:tc>
      </w:tr>
    </w:tbl>
    <w:p>
      <w:pPr>
        <w:pStyle w:val="Heading1"/>
      </w:pPr>
      <w:r>
        <w:t>2. Çalışmanın uçtan uca akışı</w:t>
      </w:r>
    </w:p>
    <w:p>
      <w:r>
        <w:drawing>
          <wp:inline xmlns:a="http://schemas.openxmlformats.org/drawingml/2006/main" xmlns:pic="http://schemas.openxmlformats.org/drawingml/2006/picture">
            <wp:extent cx="5943600" cy="3056709"/>
            <wp:docPr id="1" name="Picture 1"/>
            <wp:cNvGraphicFramePr>
              <a:graphicFrameLocks noChangeAspect="1"/>
            </wp:cNvGraphicFramePr>
            <a:graphic>
              <a:graphicData uri="http://schemas.openxmlformats.org/drawingml/2006/picture">
                <pic:pic>
                  <pic:nvPicPr>
                    <pic:cNvPr id="0" name="calisma_tasarimi_ve_bolme.png"/>
                    <pic:cNvPicPr/>
                  </pic:nvPicPr>
                  <pic:blipFill>
                    <a:blip r:embed="rId11"/>
                    <a:stretch>
                      <a:fillRect/>
                    </a:stretch>
                  </pic:blipFill>
                  <pic:spPr>
                    <a:xfrm>
                      <a:off x="0" y="0"/>
                      <a:ext cx="5943600" cy="3056709"/>
                    </a:xfrm>
                    <a:prstGeom prst="rect"/>
                  </pic:spPr>
                </pic:pic>
              </a:graphicData>
            </a:graphic>
          </wp:inline>
        </w:drawing>
      </w:r>
    </w:p>
    <w:p>
      <w:pPr>
        <w:spacing w:before="0" w:after="180" w:line="264" w:lineRule="auto"/>
        <w:jc w:val="center"/>
      </w:pPr>
      <w:r>
        <w:rPr>
          <w:rFonts w:ascii="Calibri" w:hAnsi="Calibri"/>
          <w:b w:val="0"/>
          <w:i/>
          <w:color w:val="555555"/>
          <w:sz w:val="18"/>
        </w:rPr>
        <w:t>Şekil A. Veri ediniminden ayrılmış teste kadar uygulanan denetlenebilir süreç.</w:t>
      </w:r>
    </w:p>
    <w:p>
      <w:pPr>
        <w:pStyle w:val="Heading2"/>
      </w:pPr>
      <w:r>
        <w:t>2.1 Veri edinimi</w:t>
      </w:r>
    </w:p>
    <w:p>
      <w:pPr>
        <w:spacing w:before="0" w:after="120" w:line="264" w:lineRule="auto"/>
      </w:pPr>
      <w:r>
        <w:rPr>
          <w:rFonts w:ascii="Calibri" w:hAnsi="Calibri"/>
          <w:b w:val="0"/>
          <w:i w:val="0"/>
          <w:color w:val="000000"/>
          <w:sz w:val="22"/>
        </w:rPr>
        <w:t>75 LEO nesnesi için TLE anlık görüntüleri planlanan iki saatlik aralıklarla toplandı. Her paket yapılandırma, kaynak ve katalog karmalarıyla değişmez biçimde kaydedildi.</w:t>
      </w:r>
    </w:p>
    <w:p>
      <w:pPr>
        <w:pStyle w:val="Heading2"/>
      </w:pPr>
      <w:r>
        <w:t>2.2 Yörünge yayılımı ve aday üretimi</w:t>
      </w:r>
    </w:p>
    <w:p>
      <w:pPr>
        <w:spacing w:before="0" w:after="120" w:line="264" w:lineRule="auto"/>
      </w:pPr>
      <w:r>
        <w:rPr>
          <w:rFonts w:ascii="Calibri" w:hAnsi="Calibri"/>
          <w:b w:val="0"/>
          <w:i w:val="0"/>
          <w:color w:val="000000"/>
          <w:sz w:val="22"/>
        </w:rPr>
        <w:t>SGP4 ile 12 saatlik yayılım yapıldı. Önce güvenli bir 30 saniyelik eleme, ardından kalan çiftler için 5 dakikalık aralıklarda hassas TCA/minimum mesafe araması uygulandı.</w:t>
      </w:r>
    </w:p>
    <w:p>
      <w:pPr>
        <w:pStyle w:val="Heading2"/>
      </w:pPr>
      <w:r>
        <w:t>2.3 Vekil hedef</w:t>
      </w:r>
    </w:p>
    <w:p>
      <w:pPr>
        <w:spacing w:before="0" w:after="120" w:line="264" w:lineRule="auto"/>
      </w:pPr>
      <w:r>
        <w:rPr>
          <w:rFonts w:ascii="Calibri" w:hAnsi="Calibri"/>
          <w:b w:val="0"/>
          <w:i w:val="0"/>
          <w:color w:val="000000"/>
          <w:sz w:val="22"/>
        </w:rPr>
        <w:t>En küçük yayılım mesafesi 50 km veya altında ve TCA'daki göreli hız 10 km/s veya üzerinde olduğunda satır vekil-pozitif sayıldı. Bu hedef gözlenen çarpışma olasılığı değil, denetlenebilir bir geometri/hız kuralıdır.</w:t>
      </w:r>
    </w:p>
    <w:p>
      <w:pPr>
        <w:pStyle w:val="Heading2"/>
      </w:pPr>
      <w:r>
        <w:t>2.4 Özellik sınırı</w:t>
      </w:r>
    </w:p>
    <w:p>
      <w:pPr>
        <w:spacing w:before="0" w:after="120" w:line="264" w:lineRule="auto"/>
      </w:pPr>
      <w:r>
        <w:rPr>
          <w:rFonts w:ascii="Calibri" w:hAnsi="Calibri"/>
          <w:b w:val="0"/>
          <w:i w:val="0"/>
          <w:color w:val="000000"/>
          <w:sz w:val="22"/>
        </w:rPr>
        <w:t>Modellere yalnızca gözlem anında bilinebilen altı değişken verildi. Gelecekteki minimum mesafe, TCA ve hedefi yeniden kurabilecek değişkenler veri sızıntısını önlemek için dışlandı.</w:t>
      </w:r>
    </w:p>
    <w:p>
      <w:pPr>
        <w:pStyle w:val="Heading2"/>
      </w:pPr>
      <w:r>
        <w:t>2.5 Eğitim-test ayrımı</w:t>
      </w:r>
    </w:p>
    <w:p>
      <w:pPr>
        <w:spacing w:before="0" w:after="120" w:line="264" w:lineRule="auto"/>
      </w:pPr>
      <w:r>
        <w:rPr>
          <w:rFonts w:ascii="Calibri" w:hAnsi="Calibri"/>
          <w:b w:val="0"/>
          <w:i w:val="0"/>
          <w:color w:val="000000"/>
          <w:sz w:val="22"/>
        </w:rPr>
        <w:t>Zaman ve katalog çifti birlikte ayrıldı: eğitim eski zamanlardaki eğitim çiftlerinden, test ise daha sonraki zamanlardaki tamamen farklı çiftlerden oluştu. Böylece hem gelecekten geçmişe sızıntı hem çift ezberleme engellendi.</w:t>
      </w:r>
    </w:p>
    <w:p>
      <w:pPr>
        <w:pStyle w:val="Heading2"/>
      </w:pPr>
      <w:r>
        <w:t>2.6 Karşılaştırma</w:t>
      </w:r>
    </w:p>
    <w:p>
      <w:pPr>
        <w:spacing w:before="0" w:after="120" w:line="264" w:lineRule="auto"/>
      </w:pPr>
      <w:r>
        <w:rPr>
          <w:rFonts w:ascii="Calibri" w:hAnsi="Calibri"/>
          <w:b w:val="0"/>
          <w:i w:val="0"/>
          <w:color w:val="000000"/>
          <w:sz w:val="22"/>
        </w:rPr>
        <w:t>Lojistik Regresyon, Karar Ağacı, Rastgele Orman, SVM, XGBoost ve LightGBM; hedefle hizalı mesafe karşılaştırıcısına karşı aynı ayrılmış testte ölçüldü.</w:t>
      </w:r>
    </w:p>
    <w:p>
      <w:pPr>
        <w:pStyle w:val="Heading1"/>
      </w:pPr>
      <w:r>
        <w:t>3. İlk kırılma: veri kalitesi kapıları</w:t>
      </w:r>
    </w:p>
    <w:p>
      <w:r>
        <w:drawing>
          <wp:inline xmlns:a="http://schemas.openxmlformats.org/drawingml/2006/main" xmlns:pic="http://schemas.openxmlformats.org/drawingml/2006/picture">
            <wp:extent cx="5943600" cy="1867989"/>
            <wp:docPr id="2" name="Picture 2"/>
            <wp:cNvGraphicFramePr>
              <a:graphicFrameLocks noChangeAspect="1"/>
            </wp:cNvGraphicFramePr>
            <a:graphic>
              <a:graphicData uri="http://schemas.openxmlformats.org/drawingml/2006/picture">
                <pic:pic>
                  <pic:nvPicPr>
                    <pic:cNvPr id="0" name="veri_kalitesi_kapilari.png"/>
                    <pic:cNvPicPr/>
                  </pic:nvPicPr>
                  <pic:blipFill>
                    <a:blip r:embed="rId12"/>
                    <a:stretch>
                      <a:fillRect/>
                    </a:stretch>
                  </pic:blipFill>
                  <pic:spPr>
                    <a:xfrm>
                      <a:off x="0" y="0"/>
                      <a:ext cx="5943600" cy="1867989"/>
                    </a:xfrm>
                    <a:prstGeom prst="rect"/>
                  </pic:spPr>
                </pic:pic>
              </a:graphicData>
            </a:graphic>
          </wp:inline>
        </w:drawing>
      </w:r>
    </w:p>
    <w:p>
      <w:pPr>
        <w:spacing w:before="0" w:after="180" w:line="264" w:lineRule="auto"/>
        <w:jc w:val="center"/>
      </w:pPr>
      <w:r>
        <w:rPr>
          <w:rFonts w:ascii="Calibri" w:hAnsi="Calibri"/>
          <w:b w:val="0"/>
          <w:i/>
          <w:color w:val="555555"/>
          <w:sz w:val="18"/>
        </w:rPr>
        <w:t>Şekil B. Önceden belirlenen üç edinim kapısı da karşılanmadı.</w:t>
      </w:r>
    </w:p>
    <w:p>
      <w:pPr>
        <w:spacing w:before="0" w:after="120" w:line="264" w:lineRule="auto"/>
      </w:pPr>
      <w:r>
        <w:rPr>
          <w:rFonts w:ascii="Calibri" w:hAnsi="Calibri"/>
          <w:b w:val="0"/>
          <w:i w:val="0"/>
          <w:color w:val="000000"/>
          <w:sz w:val="22"/>
        </w:rPr>
        <w:t>Planlanan 120 zaman diliminden 97'si doğrulandı. Kapsama %80,833 ile gerekli %90'ın altında kaldı; en büyük boşluk 6 saat sınırına karşı 16,844 saat oldu; aynı TLE girdisinin en uzun tekrarı altı sınırına karşı sekiz dilime ulaştı. Bu nedenle doğrulayıcı kapının sonucu not_enough_data oldu.</w:t>
      </w:r>
    </w:p>
    <w:tbl>
      <w:tblPr>
        <w:tblW w:type="auto" w:w="0"/>
        <w:jc w:val="center"/>
        <w:tblLayout w:type="fixed"/>
        <w:tblLook w:firstColumn="1" w:firstRow="1" w:lastColumn="0" w:lastRow="0" w:noHBand="0" w:noVBand="1" w:val="04A0"/>
      </w:tblPr>
      <w:tblGrid>
        <w:gridCol w:w="9360"/>
      </w:tblGrid>
      <w:tr>
        <w:tc>
          <w:tcPr>
            <w:tcW w:type="dxa" w:w="9360"/>
            <w:vAlign w:val="center"/>
            <w:shd w:fill="FFF4E5"/>
            <w:tcMar>
              <w:top w:w="160" w:type="dxa"/>
              <w:start w:w="180" w:type="dxa"/>
              <w:bottom w:w="160" w:type="dxa"/>
              <w:end w:w="180" w:type="dxa"/>
            </w:tcMar>
          </w:tcPr>
          <w:p>
            <w:pPr>
              <w:spacing w:after="0"/>
            </w:pPr>
            <w:r>
              <w:rPr>
                <w:rFonts w:ascii="Calibri" w:hAnsi="Calibri"/>
                <w:b/>
                <w:i w:val="0"/>
                <w:color w:val="7A5A00"/>
                <w:sz w:val="22"/>
              </w:rPr>
              <w:t xml:space="preserve">Sonuca etkisi: </w:t>
            </w:r>
            <w:r>
              <w:rPr>
                <w:rFonts w:ascii="Calibri" w:hAnsi="Calibri"/>
                <w:b w:val="0"/>
                <w:i w:val="0"/>
                <w:color w:val="1F2933"/>
                <w:sz w:val="22"/>
              </w:rPr>
              <w:t>Model skorları hesaplanabilir ve öğreticidir; ancak bunlar doğrulayıcı veya operasyonel performans kanıtı olarak sunulamaz. Makalede 'keşifsel/pilot kanıt' ifadesinin kullanılmasının temel nedeni budur.</w:t>
            </w:r>
          </w:p>
        </w:tc>
      </w:tr>
    </w:tbl>
    <w:p>
      <w:pPr>
        <w:pStyle w:val="Heading1"/>
      </w:pPr>
      <w:r>
        <w:t>4. İkinci kırılma: mesafe karşılaştırıcısı neden önde çıktı?</w:t>
      </w:r>
    </w:p>
    <w:p>
      <w:pPr>
        <w:spacing w:before="0" w:after="120" w:line="264" w:lineRule="auto"/>
      </w:pPr>
      <w:r>
        <w:rPr>
          <w:rFonts w:ascii="Calibri" w:hAnsi="Calibri"/>
          <w:b w:val="0"/>
          <w:i w:val="0"/>
          <w:color w:val="000000"/>
          <w:sz w:val="22"/>
        </w:rPr>
        <w:t>Vekil etiketin temel bileşeni gelecekteki yayılım minimum mesafesidir. Mesafe karşılaştırıcısı satırları doğrudan bu bileşene göre sıralar. Öğrenilmiş modeller ise gelecekteki minimum mesafeyi görmez; onu yalnızca altı anlık durum değişkeninden tahmin etmeye çalışır. Dolayısıyla karşılaştırıcı hedefle yapısal olarak daha güçlü biçimde hizalıdır.</w:t>
      </w:r>
    </w:p>
    <w:p>
      <w:pPr>
        <w:spacing w:before="0" w:after="120" w:line="264" w:lineRule="auto"/>
      </w:pPr>
      <w:r>
        <w:rPr>
          <w:rFonts w:ascii="Calibri" w:hAnsi="Calibri"/>
          <w:b w:val="0"/>
          <w:i w:val="0"/>
          <w:color w:val="000000"/>
          <w:sz w:val="22"/>
        </w:rPr>
        <w:t>Gelecekteki minimum mesafeyi modellere özellik olarak vermek skorları yükseltebilirdi; fakat model belirlenimci etiketi doğrudan yeniden kuracağı için bu hedef sızıntısı olurdu. Biz yüksek ama yapay bir skor yerine daha zor ve daha gerçekçi genelleme testini seçtik.</w:t>
      </w:r>
    </w:p>
    <w:tbl>
      <w:tblPr>
        <w:tblW w:type="auto" w:w="0"/>
        <w:jc w:val="center"/>
        <w:tblLayout w:type="fixed"/>
        <w:tblLook w:firstColumn="1" w:firstRow="1" w:lastColumn="0" w:lastRow="0" w:noHBand="0" w:noVBand="1" w:val="04A0"/>
      </w:tblPr>
      <w:tblGrid>
        <w:gridCol w:w="9360"/>
      </w:tblGrid>
      <w:tr>
        <w:tc>
          <w:tcPr>
            <w:tcW w:type="dxa" w:w="9360"/>
            <w:vAlign w:val="center"/>
            <w:shd w:fill="E8EEF5"/>
            <w:tcMar>
              <w:top w:w="160" w:type="dxa"/>
              <w:start w:w="180" w:type="dxa"/>
              <w:bottom w:w="160" w:type="dxa"/>
              <w:end w:w="180" w:type="dxa"/>
            </w:tcMar>
          </w:tcPr>
          <w:p>
            <w:pPr>
              <w:spacing w:after="0"/>
            </w:pPr>
            <w:r>
              <w:rPr>
                <w:rFonts w:ascii="Calibri" w:hAnsi="Calibri"/>
                <w:b/>
                <w:i w:val="0"/>
                <w:color w:val="2E74B5"/>
                <w:sz w:val="22"/>
              </w:rPr>
              <w:t xml:space="preserve">Önemli ayrım: </w:t>
            </w:r>
            <w:r>
              <w:rPr>
                <w:rFonts w:ascii="Calibri" w:hAnsi="Calibri"/>
                <w:b w:val="0"/>
                <w:i w:val="0"/>
                <w:color w:val="1F2933"/>
                <w:sz w:val="22"/>
              </w:rPr>
              <w:t>Mesafe karşılaştırıcısının üstünlüğü, 25 km alarmının gerçek uzay operasyonlarında en iyi eşik olduğunu kanıtlamaz. Karşılaştırıcı bağımsız çarpışma gerçeği değil, vekil hedefle hizalı güçlü bir kontroldür.</w:t>
            </w:r>
          </w:p>
        </w:tc>
      </w:tr>
    </w:tbl>
    <w:p>
      <w:pPr>
        <w:pStyle w:val="Heading1"/>
      </w:pPr>
      <w:r>
        <w:t>5. Sayısal sonuçlar bize ne söyledi?</w:t>
      </w:r>
    </w:p>
    <w:p>
      <w:r>
        <w:drawing>
          <wp:inline xmlns:a="http://schemas.openxmlformats.org/drawingml/2006/main" xmlns:pic="http://schemas.openxmlformats.org/drawingml/2006/picture">
            <wp:extent cx="5715000" cy="3265714"/>
            <wp:docPr id="3" name="Picture 3"/>
            <wp:cNvGraphicFramePr>
              <a:graphicFrameLocks noChangeAspect="1"/>
            </wp:cNvGraphicFramePr>
            <a:graphic>
              <a:graphicData uri="http://schemas.openxmlformats.org/drawingml/2006/picture">
                <pic:pic>
                  <pic:nvPicPr>
                    <pic:cNvPr id="0" name="model_karsilastirmasi.png"/>
                    <pic:cNvPicPr/>
                  </pic:nvPicPr>
                  <pic:blipFill>
                    <a:blip r:embed="rId13"/>
                    <a:stretch>
                      <a:fillRect/>
                    </a:stretch>
                  </pic:blipFill>
                  <pic:spPr>
                    <a:xfrm>
                      <a:off x="0" y="0"/>
                      <a:ext cx="5715000" cy="3265714"/>
                    </a:xfrm>
                    <a:prstGeom prst="rect"/>
                  </pic:spPr>
                </pic:pic>
              </a:graphicData>
            </a:graphic>
          </wp:inline>
        </w:drawing>
      </w:r>
    </w:p>
    <w:p>
      <w:pPr>
        <w:spacing w:before="0" w:after="180" w:line="264" w:lineRule="auto"/>
        <w:jc w:val="center"/>
      </w:pPr>
      <w:r>
        <w:rPr>
          <w:rFonts w:ascii="Calibri" w:hAnsi="Calibri"/>
          <w:b w:val="0"/>
          <w:i/>
          <w:color w:val="555555"/>
          <w:sz w:val="18"/>
        </w:rPr>
        <w:t>Şekil C. PR-AUC, F1 ve duyarlılık açısından keşifsel ayrılmış test karşılaştırması.</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456"/>
            <w:shd w:fill="E8EEF5"/>
            <w:tcMar>
              <w:top w:w="100" w:type="dxa"/>
              <w:start w:w="120" w:type="dxa"/>
              <w:bottom w:w="100" w:type="dxa"/>
              <w:end w:w="120" w:type="dxa"/>
            </w:tcMar>
            <w:vAlign w:val="center"/>
          </w:tcPr>
          <w:p>
            <w:pPr>
              <w:jc w:val="center"/>
            </w:pPr>
            <w:r>
              <w:rPr>
                <w:rFonts w:ascii="Calibri" w:hAnsi="Calibri"/>
                <w:b/>
                <w:i w:val="0"/>
                <w:color w:val="173A63"/>
                <w:sz w:val="19"/>
              </w:rPr>
              <w:t>Yöntem</w:t>
            </w:r>
          </w:p>
        </w:tc>
        <w:tc>
          <w:tcPr>
            <w:tcW w:type="dxa" w:w="1440"/>
            <w:shd w:fill="E8EEF5"/>
            <w:tcMar>
              <w:top w:w="100" w:type="dxa"/>
              <w:start w:w="120" w:type="dxa"/>
              <w:bottom w:w="100" w:type="dxa"/>
              <w:end w:w="120" w:type="dxa"/>
            </w:tcMar>
            <w:vAlign w:val="center"/>
          </w:tcPr>
          <w:p>
            <w:pPr>
              <w:jc w:val="center"/>
            </w:pPr>
            <w:r>
              <w:rPr>
                <w:rFonts w:ascii="Calibri" w:hAnsi="Calibri"/>
                <w:b/>
                <w:i w:val="0"/>
                <w:color w:val="173A63"/>
                <w:sz w:val="19"/>
              </w:rPr>
              <w:t>PR-AUC</w:t>
            </w:r>
          </w:p>
        </w:tc>
        <w:tc>
          <w:tcPr>
            <w:tcW w:type="dxa" w:w="1440"/>
            <w:shd w:fill="E8EEF5"/>
            <w:tcMar>
              <w:top w:w="100" w:type="dxa"/>
              <w:start w:w="120" w:type="dxa"/>
              <w:bottom w:w="100" w:type="dxa"/>
              <w:end w:w="120" w:type="dxa"/>
            </w:tcMar>
            <w:vAlign w:val="center"/>
          </w:tcPr>
          <w:p>
            <w:pPr>
              <w:jc w:val="center"/>
            </w:pPr>
            <w:r>
              <w:rPr>
                <w:rFonts w:ascii="Calibri" w:hAnsi="Calibri"/>
                <w:b/>
                <w:i w:val="0"/>
                <w:color w:val="173A63"/>
                <w:sz w:val="19"/>
              </w:rPr>
              <w:t>Duyarlılık</w:t>
            </w:r>
          </w:p>
        </w:tc>
        <w:tc>
          <w:tcPr>
            <w:tcW w:type="dxa" w:w="1440"/>
            <w:shd w:fill="E8EEF5"/>
            <w:tcMar>
              <w:top w:w="100" w:type="dxa"/>
              <w:start w:w="120" w:type="dxa"/>
              <w:bottom w:w="100" w:type="dxa"/>
              <w:end w:w="120" w:type="dxa"/>
            </w:tcMar>
            <w:vAlign w:val="center"/>
          </w:tcPr>
          <w:p>
            <w:pPr>
              <w:jc w:val="center"/>
            </w:pPr>
            <w:r>
              <w:rPr>
                <w:rFonts w:ascii="Calibri" w:hAnsi="Calibri"/>
                <w:b/>
                <w:i w:val="0"/>
                <w:color w:val="173A63"/>
                <w:sz w:val="19"/>
              </w:rPr>
              <w:t>F1</w:t>
            </w:r>
          </w:p>
        </w:tc>
        <w:tc>
          <w:tcPr>
            <w:tcW w:type="dxa" w:w="1584"/>
            <w:shd w:fill="E8EEF5"/>
            <w:tcMar>
              <w:top w:w="100" w:type="dxa"/>
              <w:start w:w="120" w:type="dxa"/>
              <w:bottom w:w="100" w:type="dxa"/>
              <w:end w:w="120" w:type="dxa"/>
            </w:tcMar>
            <w:vAlign w:val="center"/>
          </w:tcPr>
          <w:p>
            <w:pPr>
              <w:jc w:val="center"/>
            </w:pPr>
            <w:r>
              <w:rPr>
                <w:rFonts w:ascii="Calibri" w:hAnsi="Calibri"/>
                <w:b/>
                <w:i w:val="0"/>
                <w:color w:val="173A63"/>
                <w:sz w:val="19"/>
              </w:rPr>
              <w:t>FAR</w:t>
            </w:r>
          </w:p>
        </w:tc>
      </w:tr>
      <w:tr>
        <w:tc>
          <w:tcPr>
            <w:tcW w:type="dxa" w:w="3456"/>
            <w:tcMar>
              <w:top w:w="100" w:type="dxa"/>
              <w:start w:w="120" w:type="dxa"/>
              <w:bottom w:w="100" w:type="dxa"/>
              <w:end w:w="120" w:type="dxa"/>
            </w:tcMar>
            <w:vAlign w:val="center"/>
          </w:tcPr>
          <w:p>
            <w:pPr>
              <w:jc w:val="left"/>
            </w:pPr>
            <w:r>
              <w:rPr>
                <w:rFonts w:ascii="Calibri" w:hAnsi="Calibri"/>
                <w:b w:val="0"/>
                <w:i w:val="0"/>
                <w:color w:val="1F2933"/>
                <w:sz w:val="19"/>
              </w:rPr>
              <w:t>Mesafe karşılaştırıcısı</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0.725</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0.386</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0.510</w:t>
            </w:r>
          </w:p>
        </w:tc>
        <w:tc>
          <w:tcPr>
            <w:tcW w:type="dxa" w:w="1584"/>
            <w:tcMar>
              <w:top w:w="100" w:type="dxa"/>
              <w:start w:w="120" w:type="dxa"/>
              <w:bottom w:w="100" w:type="dxa"/>
              <w:end w:w="120" w:type="dxa"/>
            </w:tcMar>
            <w:vAlign w:val="center"/>
          </w:tcPr>
          <w:p>
            <w:pPr>
              <w:jc w:val="center"/>
            </w:pPr>
            <w:r>
              <w:rPr>
                <w:rFonts w:ascii="Calibri" w:hAnsi="Calibri"/>
                <w:b w:val="0"/>
                <w:i w:val="0"/>
                <w:color w:val="1F2933"/>
                <w:sz w:val="19"/>
              </w:rPr>
              <w:t>0.011</w:t>
            </w:r>
          </w:p>
        </w:tc>
      </w:tr>
      <w:tr>
        <w:tc>
          <w:tcPr>
            <w:tcW w:type="dxa" w:w="3456"/>
            <w:tcMar>
              <w:top w:w="100" w:type="dxa"/>
              <w:start w:w="120" w:type="dxa"/>
              <w:bottom w:w="100" w:type="dxa"/>
              <w:end w:w="120" w:type="dxa"/>
            </w:tcMar>
            <w:vAlign w:val="center"/>
          </w:tcPr>
          <w:p>
            <w:pPr>
              <w:jc w:val="left"/>
            </w:pPr>
            <w:r>
              <w:rPr>
                <w:rFonts w:ascii="Calibri" w:hAnsi="Calibri"/>
                <w:b w:val="0"/>
                <w:i w:val="0"/>
                <w:color w:val="1F2933"/>
                <w:sz w:val="19"/>
              </w:rPr>
              <w:t>Lojistik regresyon</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0.385</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0.839</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0.283</w:t>
            </w:r>
          </w:p>
        </w:tc>
        <w:tc>
          <w:tcPr>
            <w:tcW w:type="dxa" w:w="1584"/>
            <w:tcMar>
              <w:top w:w="100" w:type="dxa"/>
              <w:start w:w="120" w:type="dxa"/>
              <w:bottom w:w="100" w:type="dxa"/>
              <w:end w:w="120" w:type="dxa"/>
            </w:tcMar>
            <w:vAlign w:val="center"/>
          </w:tcPr>
          <w:p>
            <w:pPr>
              <w:jc w:val="center"/>
            </w:pPr>
            <w:r>
              <w:rPr>
                <w:rFonts w:ascii="Calibri" w:hAnsi="Calibri"/>
                <w:b w:val="0"/>
                <w:i w:val="0"/>
                <w:color w:val="1F2933"/>
                <w:sz w:val="19"/>
              </w:rPr>
              <w:t>0.355</w:t>
            </w:r>
          </w:p>
        </w:tc>
      </w:tr>
      <w:tr>
        <w:tc>
          <w:tcPr>
            <w:tcW w:type="dxa" w:w="3456"/>
            <w:tcMar>
              <w:top w:w="100" w:type="dxa"/>
              <w:start w:w="120" w:type="dxa"/>
              <w:bottom w:w="100" w:type="dxa"/>
              <w:end w:w="120" w:type="dxa"/>
            </w:tcMar>
            <w:vAlign w:val="center"/>
          </w:tcPr>
          <w:p>
            <w:pPr>
              <w:jc w:val="left"/>
            </w:pPr>
            <w:r>
              <w:rPr>
                <w:rFonts w:ascii="Calibri" w:hAnsi="Calibri"/>
                <w:b w:val="0"/>
                <w:i w:val="0"/>
                <w:color w:val="1F2933"/>
                <w:sz w:val="19"/>
              </w:rPr>
              <w:t>Karar ağacı</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0.137</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0.274</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0.281</w:t>
            </w:r>
          </w:p>
        </w:tc>
        <w:tc>
          <w:tcPr>
            <w:tcW w:type="dxa" w:w="1584"/>
            <w:tcMar>
              <w:top w:w="100" w:type="dxa"/>
              <w:start w:w="120" w:type="dxa"/>
              <w:bottom w:w="100" w:type="dxa"/>
              <w:end w:w="120" w:type="dxa"/>
            </w:tcMar>
            <w:vAlign w:val="center"/>
          </w:tcPr>
          <w:p>
            <w:pPr>
              <w:jc w:val="center"/>
            </w:pPr>
            <w:r>
              <w:rPr>
                <w:rFonts w:ascii="Calibri" w:hAnsi="Calibri"/>
                <w:b w:val="0"/>
                <w:i w:val="0"/>
                <w:color w:val="1F2933"/>
                <w:sz w:val="19"/>
              </w:rPr>
              <w:t>0.058</w:t>
            </w:r>
          </w:p>
        </w:tc>
      </w:tr>
      <w:tr>
        <w:tc>
          <w:tcPr>
            <w:tcW w:type="dxa" w:w="3456"/>
            <w:tcMar>
              <w:top w:w="100" w:type="dxa"/>
              <w:start w:w="120" w:type="dxa"/>
              <w:bottom w:w="100" w:type="dxa"/>
              <w:end w:w="120" w:type="dxa"/>
            </w:tcMar>
            <w:vAlign w:val="center"/>
          </w:tcPr>
          <w:p>
            <w:pPr>
              <w:jc w:val="left"/>
            </w:pPr>
            <w:r>
              <w:rPr>
                <w:rFonts w:ascii="Calibri" w:hAnsi="Calibri"/>
                <w:b w:val="0"/>
                <w:i w:val="0"/>
                <w:color w:val="1F2933"/>
                <w:sz w:val="19"/>
              </w:rPr>
              <w:t>Rastgele orman</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0.412</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0.197</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0.299</w:t>
            </w:r>
          </w:p>
        </w:tc>
        <w:tc>
          <w:tcPr>
            <w:tcW w:type="dxa" w:w="1584"/>
            <w:tcMar>
              <w:top w:w="100" w:type="dxa"/>
              <w:start w:w="120" w:type="dxa"/>
              <w:bottom w:w="100" w:type="dxa"/>
              <w:end w:w="120" w:type="dxa"/>
            </w:tcMar>
            <w:vAlign w:val="center"/>
          </w:tcPr>
          <w:p>
            <w:pPr>
              <w:jc w:val="center"/>
            </w:pPr>
            <w:r>
              <w:rPr>
                <w:rFonts w:ascii="Calibri" w:hAnsi="Calibri"/>
                <w:b w:val="0"/>
                <w:i w:val="0"/>
                <w:color w:val="1F2933"/>
                <w:sz w:val="19"/>
              </w:rPr>
              <w:t>0.010</w:t>
            </w:r>
          </w:p>
        </w:tc>
      </w:tr>
      <w:tr>
        <w:tc>
          <w:tcPr>
            <w:tcW w:type="dxa" w:w="3456"/>
            <w:tcMar>
              <w:top w:w="100" w:type="dxa"/>
              <w:start w:w="120" w:type="dxa"/>
              <w:bottom w:w="100" w:type="dxa"/>
              <w:end w:w="120" w:type="dxa"/>
            </w:tcMar>
            <w:vAlign w:val="center"/>
          </w:tcPr>
          <w:p>
            <w:pPr>
              <w:jc w:val="left"/>
            </w:pPr>
            <w:r>
              <w:rPr>
                <w:rFonts w:ascii="Calibri" w:hAnsi="Calibri"/>
                <w:b w:val="0"/>
                <w:i w:val="0"/>
                <w:color w:val="1F2933"/>
                <w:sz w:val="19"/>
              </w:rPr>
              <w:t>SVM</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0.418</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0.874</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0.406</w:t>
            </w:r>
          </w:p>
        </w:tc>
        <w:tc>
          <w:tcPr>
            <w:tcW w:type="dxa" w:w="1584"/>
            <w:tcMar>
              <w:top w:w="100" w:type="dxa"/>
              <w:start w:w="120" w:type="dxa"/>
              <w:bottom w:w="100" w:type="dxa"/>
              <w:end w:w="120" w:type="dxa"/>
            </w:tcMar>
            <w:vAlign w:val="center"/>
          </w:tcPr>
          <w:p>
            <w:pPr>
              <w:jc w:val="center"/>
            </w:pPr>
            <w:r>
              <w:rPr>
                <w:rFonts w:ascii="Calibri" w:hAnsi="Calibri"/>
                <w:b w:val="0"/>
                <w:i w:val="0"/>
                <w:color w:val="1F2933"/>
                <w:sz w:val="19"/>
              </w:rPr>
              <w:t>0.211</w:t>
            </w:r>
          </w:p>
        </w:tc>
      </w:tr>
      <w:tr>
        <w:tc>
          <w:tcPr>
            <w:tcW w:type="dxa" w:w="3456"/>
            <w:tcMar>
              <w:top w:w="100" w:type="dxa"/>
              <w:start w:w="120" w:type="dxa"/>
              <w:bottom w:w="100" w:type="dxa"/>
              <w:end w:w="120" w:type="dxa"/>
            </w:tcMar>
            <w:vAlign w:val="center"/>
          </w:tcPr>
          <w:p>
            <w:pPr>
              <w:jc w:val="left"/>
            </w:pPr>
            <w:r>
              <w:rPr>
                <w:rFonts w:ascii="Calibri" w:hAnsi="Calibri"/>
                <w:b w:val="0"/>
                <w:i w:val="0"/>
                <w:color w:val="1F2933"/>
                <w:sz w:val="19"/>
              </w:rPr>
              <w:t>XGBoost</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0.367</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0.439</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0.396</w:t>
            </w:r>
          </w:p>
        </w:tc>
        <w:tc>
          <w:tcPr>
            <w:tcW w:type="dxa" w:w="1584"/>
            <w:tcMar>
              <w:top w:w="100" w:type="dxa"/>
              <w:start w:w="120" w:type="dxa"/>
              <w:bottom w:w="100" w:type="dxa"/>
              <w:end w:w="120" w:type="dxa"/>
            </w:tcMar>
            <w:vAlign w:val="center"/>
          </w:tcPr>
          <w:p>
            <w:pPr>
              <w:jc w:val="center"/>
            </w:pPr>
            <w:r>
              <w:rPr>
                <w:rFonts w:ascii="Calibri" w:hAnsi="Calibri"/>
                <w:b w:val="0"/>
                <w:i w:val="0"/>
                <w:color w:val="1F2933"/>
                <w:sz w:val="19"/>
              </w:rPr>
              <w:t>0.068</w:t>
            </w:r>
          </w:p>
        </w:tc>
      </w:tr>
      <w:tr>
        <w:tc>
          <w:tcPr>
            <w:tcW w:type="dxa" w:w="3456"/>
            <w:tcMar>
              <w:top w:w="100" w:type="dxa"/>
              <w:start w:w="120" w:type="dxa"/>
              <w:bottom w:w="100" w:type="dxa"/>
              <w:end w:w="120" w:type="dxa"/>
            </w:tcMar>
            <w:vAlign w:val="center"/>
          </w:tcPr>
          <w:p>
            <w:pPr>
              <w:jc w:val="left"/>
            </w:pPr>
            <w:r>
              <w:rPr>
                <w:rFonts w:ascii="Calibri" w:hAnsi="Calibri"/>
                <w:b w:val="0"/>
                <w:i w:val="0"/>
                <w:color w:val="1F2933"/>
                <w:sz w:val="19"/>
              </w:rPr>
              <w:t>LightGBM</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0.408</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0.623</w:t>
            </w:r>
          </w:p>
        </w:tc>
        <w:tc>
          <w:tcPr>
            <w:tcW w:type="dxa" w:w="1440"/>
            <w:tcMar>
              <w:top w:w="100" w:type="dxa"/>
              <w:start w:w="120" w:type="dxa"/>
              <w:bottom w:w="100" w:type="dxa"/>
              <w:end w:w="120" w:type="dxa"/>
            </w:tcMar>
            <w:vAlign w:val="center"/>
          </w:tcPr>
          <w:p>
            <w:pPr>
              <w:jc w:val="center"/>
            </w:pPr>
            <w:r>
              <w:rPr>
                <w:rFonts w:ascii="Calibri" w:hAnsi="Calibri"/>
                <w:b w:val="0"/>
                <w:i w:val="0"/>
                <w:color w:val="1F2933"/>
                <w:sz w:val="19"/>
              </w:rPr>
              <w:t>0.438</w:t>
            </w:r>
          </w:p>
        </w:tc>
        <w:tc>
          <w:tcPr>
            <w:tcW w:type="dxa" w:w="1584"/>
            <w:tcMar>
              <w:top w:w="100" w:type="dxa"/>
              <w:start w:w="120" w:type="dxa"/>
              <w:bottom w:w="100" w:type="dxa"/>
              <w:end w:w="120" w:type="dxa"/>
            </w:tcMar>
            <w:vAlign w:val="center"/>
          </w:tcPr>
          <w:p>
            <w:pPr>
              <w:jc w:val="center"/>
            </w:pPr>
            <w:r>
              <w:rPr>
                <w:rFonts w:ascii="Calibri" w:hAnsi="Calibri"/>
                <w:b w:val="0"/>
                <w:i w:val="0"/>
                <w:color w:val="1F2933"/>
                <w:sz w:val="19"/>
              </w:rPr>
              <w:t>0.106</w:t>
            </w:r>
          </w:p>
        </w:tc>
      </w:tr>
    </w:tbl>
    <w:p>
      <w:pPr>
        <w:spacing w:before="0" w:after="120" w:line="264" w:lineRule="auto"/>
      </w:pPr>
      <w:r>
        <w:rPr>
          <w:rFonts w:ascii="Calibri" w:hAnsi="Calibri"/>
          <w:b w:val="0"/>
          <w:i w:val="0"/>
          <w:color w:val="000000"/>
          <w:sz w:val="22"/>
        </w:rPr>
        <w:t>Mesafe karşılaştırıcısı 0,725 PR-AUC ve 0,510 F1 ile genel olarak en güçlü sonucu verdi. SVM 0,874 duyarlılıkla en çok pozitifi yakalayan öğrenilmiş modeldi; fakat 542 yanlış pozitif ve 0,211 FAR üretti. LightGBM öğrenilmiş modeller içinde 0,438 ile en yüksek F1'e ulaştı, ancak karşılaştırıcıyı geçemedi. Rastgele Orman düşük FAR sağladı fakat duyarlılığı 0,197'de kaldı; yani düşük alarm sayısı pozitifleri kaçırma pahasına elde edildi.</w:t>
      </w:r>
    </w:p>
    <w:p>
      <w:pPr>
        <w:pStyle w:val="Heading1"/>
      </w:pPr>
      <w:r>
        <w:t>6. Kanıt zinciri: sonuç nasıl oluştu?</w:t>
      </w:r>
    </w:p>
    <w:tbl>
      <w:tblPr>
        <w:tblW w:type="auto" w:w="0"/>
        <w:jc w:val="center"/>
        <w:tblLayout w:type="fixed"/>
        <w:tblLook w:firstColumn="1" w:firstRow="1" w:lastColumn="0" w:lastRow="0" w:noHBand="0" w:noVBand="1" w:val="04A0"/>
      </w:tblPr>
      <w:tblGrid>
        <w:gridCol w:w="3120"/>
        <w:gridCol w:w="3120"/>
        <w:gridCol w:w="3120"/>
      </w:tblGrid>
      <w:tr>
        <w:tc>
          <w:tcPr>
            <w:tcW w:type="dxa" w:w="2448"/>
            <w:shd w:fill="E8EEF5"/>
            <w:tcMar>
              <w:top w:w="100" w:type="dxa"/>
              <w:start w:w="120" w:type="dxa"/>
              <w:bottom w:w="100" w:type="dxa"/>
              <w:end w:w="120" w:type="dxa"/>
            </w:tcMar>
            <w:vAlign w:val="center"/>
          </w:tcPr>
          <w:p>
            <w:pPr>
              <w:jc w:val="center"/>
            </w:pPr>
            <w:r>
              <w:rPr>
                <w:rFonts w:ascii="Calibri" w:hAnsi="Calibri"/>
                <w:b/>
                <w:i w:val="0"/>
                <w:color w:val="173A63"/>
                <w:sz w:val="19"/>
              </w:rPr>
              <w:t>Gözlem</w:t>
            </w:r>
          </w:p>
        </w:tc>
        <w:tc>
          <w:tcPr>
            <w:tcW w:type="dxa" w:w="3312"/>
            <w:shd w:fill="E8EEF5"/>
            <w:tcMar>
              <w:top w:w="100" w:type="dxa"/>
              <w:start w:w="120" w:type="dxa"/>
              <w:bottom w:w="100" w:type="dxa"/>
              <w:end w:w="120" w:type="dxa"/>
            </w:tcMar>
            <w:vAlign w:val="center"/>
          </w:tcPr>
          <w:p>
            <w:pPr>
              <w:jc w:val="center"/>
            </w:pPr>
            <w:r>
              <w:rPr>
                <w:rFonts w:ascii="Calibri" w:hAnsi="Calibri"/>
                <w:b/>
                <w:i w:val="0"/>
                <w:color w:val="173A63"/>
                <w:sz w:val="19"/>
              </w:rPr>
              <w:t>Bilimsel anlam</w:t>
            </w:r>
          </w:p>
        </w:tc>
        <w:tc>
          <w:tcPr>
            <w:tcW w:type="dxa" w:w="3600"/>
            <w:shd w:fill="E8EEF5"/>
            <w:tcMar>
              <w:top w:w="100" w:type="dxa"/>
              <w:start w:w="120" w:type="dxa"/>
              <w:bottom w:w="100" w:type="dxa"/>
              <w:end w:w="120" w:type="dxa"/>
            </w:tcMar>
            <w:vAlign w:val="center"/>
          </w:tcPr>
          <w:p>
            <w:pPr>
              <w:jc w:val="center"/>
            </w:pPr>
            <w:r>
              <w:rPr>
                <w:rFonts w:ascii="Calibri" w:hAnsi="Calibri"/>
                <w:b/>
                <w:i w:val="0"/>
                <w:color w:val="173A63"/>
                <w:sz w:val="19"/>
              </w:rPr>
              <w:t>Sonuca etkisi</w:t>
            </w:r>
          </w:p>
        </w:tc>
      </w:tr>
      <w:tr>
        <w:tc>
          <w:tcPr>
            <w:tcW w:type="dxa" w:w="2448"/>
            <w:tcMar>
              <w:top w:w="100" w:type="dxa"/>
              <w:start w:w="120" w:type="dxa"/>
              <w:bottom w:w="100" w:type="dxa"/>
              <w:end w:w="120" w:type="dxa"/>
            </w:tcMar>
            <w:vAlign w:val="center"/>
          </w:tcPr>
          <w:p>
            <w:pPr>
              <w:jc w:val="left"/>
            </w:pPr>
            <w:r>
              <w:rPr>
                <w:rFonts w:ascii="Calibri" w:hAnsi="Calibri"/>
                <w:b w:val="0"/>
                <w:i w:val="0"/>
                <w:color w:val="1F2933"/>
                <w:sz w:val="19"/>
              </w:rPr>
              <w:t>Üç veri kapısı başarısız</w:t>
            </w:r>
          </w:p>
        </w:tc>
        <w:tc>
          <w:tcPr>
            <w:tcW w:type="dxa" w:w="3312"/>
            <w:tcMar>
              <w:top w:w="100" w:type="dxa"/>
              <w:start w:w="120" w:type="dxa"/>
              <w:bottom w:w="100" w:type="dxa"/>
              <w:end w:w="120" w:type="dxa"/>
            </w:tcMar>
            <w:vAlign w:val="center"/>
          </w:tcPr>
          <w:p>
            <w:pPr>
              <w:jc w:val="center"/>
            </w:pPr>
            <w:r>
              <w:rPr>
                <w:rFonts w:ascii="Calibri" w:hAnsi="Calibri"/>
                <w:b w:val="0"/>
                <w:i w:val="0"/>
                <w:color w:val="1F2933"/>
                <w:sz w:val="19"/>
              </w:rPr>
              <w:t>Arşiv doğrulayıcı yeterlilikte değil</w:t>
            </w:r>
          </w:p>
        </w:tc>
        <w:tc>
          <w:tcPr>
            <w:tcW w:type="dxa" w:w="3600"/>
            <w:tcMar>
              <w:top w:w="100" w:type="dxa"/>
              <w:start w:w="120" w:type="dxa"/>
              <w:bottom w:w="100" w:type="dxa"/>
              <w:end w:w="120" w:type="dxa"/>
            </w:tcMar>
            <w:vAlign w:val="center"/>
          </w:tcPr>
          <w:p>
            <w:pPr>
              <w:jc w:val="center"/>
            </w:pPr>
            <w:r>
              <w:rPr>
                <w:rFonts w:ascii="Calibri" w:hAnsi="Calibri"/>
                <w:b w:val="0"/>
                <w:i w:val="0"/>
                <w:color w:val="1F2933"/>
                <w:sz w:val="19"/>
              </w:rPr>
              <w:t>İddia keşifsel tutuldu</w:t>
            </w:r>
          </w:p>
        </w:tc>
      </w:tr>
      <w:tr>
        <w:tc>
          <w:tcPr>
            <w:tcW w:type="dxa" w:w="2448"/>
            <w:tcMar>
              <w:top w:w="100" w:type="dxa"/>
              <w:start w:w="120" w:type="dxa"/>
              <w:bottom w:w="100" w:type="dxa"/>
              <w:end w:w="120" w:type="dxa"/>
            </w:tcMar>
            <w:vAlign w:val="center"/>
          </w:tcPr>
          <w:p>
            <w:pPr>
              <w:jc w:val="left"/>
            </w:pPr>
            <w:r>
              <w:rPr>
                <w:rFonts w:ascii="Calibri" w:hAnsi="Calibri"/>
                <w:b w:val="0"/>
                <w:i w:val="0"/>
                <w:color w:val="1F2933"/>
                <w:sz w:val="19"/>
              </w:rPr>
              <w:t>Çift ve zaman birlikte ayrıldı</w:t>
            </w:r>
          </w:p>
        </w:tc>
        <w:tc>
          <w:tcPr>
            <w:tcW w:type="dxa" w:w="3312"/>
            <w:tcMar>
              <w:top w:w="100" w:type="dxa"/>
              <w:start w:w="120" w:type="dxa"/>
              <w:bottom w:w="100" w:type="dxa"/>
              <w:end w:w="120" w:type="dxa"/>
            </w:tcMar>
            <w:vAlign w:val="center"/>
          </w:tcPr>
          <w:p>
            <w:pPr>
              <w:jc w:val="center"/>
            </w:pPr>
            <w:r>
              <w:rPr>
                <w:rFonts w:ascii="Calibri" w:hAnsi="Calibri"/>
                <w:b w:val="0"/>
                <w:i w:val="0"/>
                <w:color w:val="1F2933"/>
                <w:sz w:val="19"/>
              </w:rPr>
              <w:t>Ezberleme ve zamansal sızıntı sınırlandı</w:t>
            </w:r>
          </w:p>
        </w:tc>
        <w:tc>
          <w:tcPr>
            <w:tcW w:type="dxa" w:w="3600"/>
            <w:tcMar>
              <w:top w:w="100" w:type="dxa"/>
              <w:start w:w="120" w:type="dxa"/>
              <w:bottom w:w="100" w:type="dxa"/>
              <w:end w:w="120" w:type="dxa"/>
            </w:tcMar>
            <w:vAlign w:val="center"/>
          </w:tcPr>
          <w:p>
            <w:pPr>
              <w:jc w:val="center"/>
            </w:pPr>
            <w:r>
              <w:rPr>
                <w:rFonts w:ascii="Calibri" w:hAnsi="Calibri"/>
                <w:b w:val="0"/>
                <w:i w:val="0"/>
                <w:color w:val="1F2933"/>
                <w:sz w:val="19"/>
              </w:rPr>
              <w:t>Skorlar daha düşük ama daha gerçekçi oldu</w:t>
            </w:r>
          </w:p>
        </w:tc>
      </w:tr>
      <w:tr>
        <w:tc>
          <w:tcPr>
            <w:tcW w:type="dxa" w:w="2448"/>
            <w:tcMar>
              <w:top w:w="100" w:type="dxa"/>
              <w:start w:w="120" w:type="dxa"/>
              <w:bottom w:w="100" w:type="dxa"/>
              <w:end w:w="120" w:type="dxa"/>
            </w:tcMar>
            <w:vAlign w:val="center"/>
          </w:tcPr>
          <w:p>
            <w:pPr>
              <w:jc w:val="left"/>
            </w:pPr>
            <w:r>
              <w:rPr>
                <w:rFonts w:ascii="Calibri" w:hAnsi="Calibri"/>
                <w:b w:val="0"/>
                <w:i w:val="0"/>
                <w:color w:val="1F2933"/>
                <w:sz w:val="19"/>
              </w:rPr>
              <w:t>Gelecek TCA bilgisi özelliklerden çıkarıldı</w:t>
            </w:r>
          </w:p>
        </w:tc>
        <w:tc>
          <w:tcPr>
            <w:tcW w:type="dxa" w:w="3312"/>
            <w:tcMar>
              <w:top w:w="100" w:type="dxa"/>
              <w:start w:w="120" w:type="dxa"/>
              <w:bottom w:w="100" w:type="dxa"/>
              <w:end w:w="120" w:type="dxa"/>
            </w:tcMar>
            <w:vAlign w:val="center"/>
          </w:tcPr>
          <w:p>
            <w:pPr>
              <w:jc w:val="center"/>
            </w:pPr>
            <w:r>
              <w:rPr>
                <w:rFonts w:ascii="Calibri" w:hAnsi="Calibri"/>
                <w:b w:val="0"/>
                <w:i w:val="0"/>
                <w:color w:val="1F2933"/>
                <w:sz w:val="19"/>
              </w:rPr>
              <w:t>Hedef sızıntısı önlendi</w:t>
            </w:r>
          </w:p>
        </w:tc>
        <w:tc>
          <w:tcPr>
            <w:tcW w:type="dxa" w:w="3600"/>
            <w:tcMar>
              <w:top w:w="100" w:type="dxa"/>
              <w:start w:w="120" w:type="dxa"/>
              <w:bottom w:w="100" w:type="dxa"/>
              <w:end w:w="120" w:type="dxa"/>
            </w:tcMar>
            <w:vAlign w:val="center"/>
          </w:tcPr>
          <w:p>
            <w:pPr>
              <w:jc w:val="center"/>
            </w:pPr>
            <w:r>
              <w:rPr>
                <w:rFonts w:ascii="Calibri" w:hAnsi="Calibri"/>
                <w:b w:val="0"/>
                <w:i w:val="0"/>
                <w:color w:val="1F2933"/>
                <w:sz w:val="19"/>
              </w:rPr>
              <w:t>Modeller zor bir tahmin problemi çözdü</w:t>
            </w:r>
          </w:p>
        </w:tc>
      </w:tr>
      <w:tr>
        <w:tc>
          <w:tcPr>
            <w:tcW w:type="dxa" w:w="2448"/>
            <w:tcMar>
              <w:top w:w="100" w:type="dxa"/>
              <w:start w:w="120" w:type="dxa"/>
              <w:bottom w:w="100" w:type="dxa"/>
              <w:end w:w="120" w:type="dxa"/>
            </w:tcMar>
            <w:vAlign w:val="center"/>
          </w:tcPr>
          <w:p>
            <w:pPr>
              <w:jc w:val="left"/>
            </w:pPr>
            <w:r>
              <w:rPr>
                <w:rFonts w:ascii="Calibri" w:hAnsi="Calibri"/>
                <w:b w:val="0"/>
                <w:i w:val="0"/>
                <w:color w:val="1F2933"/>
                <w:sz w:val="19"/>
              </w:rPr>
              <w:t>Mesafe karşılaştırıcısı hedef bileşeniyle hizalı</w:t>
            </w:r>
          </w:p>
        </w:tc>
        <w:tc>
          <w:tcPr>
            <w:tcW w:type="dxa" w:w="3312"/>
            <w:tcMar>
              <w:top w:w="100" w:type="dxa"/>
              <w:start w:w="120" w:type="dxa"/>
              <w:bottom w:w="100" w:type="dxa"/>
              <w:end w:w="120" w:type="dxa"/>
            </w:tcMar>
            <w:vAlign w:val="center"/>
          </w:tcPr>
          <w:p>
            <w:pPr>
              <w:jc w:val="center"/>
            </w:pPr>
            <w:r>
              <w:rPr>
                <w:rFonts w:ascii="Calibri" w:hAnsi="Calibri"/>
                <w:b w:val="0"/>
                <w:i w:val="0"/>
                <w:color w:val="1F2933"/>
                <w:sz w:val="19"/>
              </w:rPr>
              <w:t>Güçlü fakat bağımsız olmayan kontrol</w:t>
            </w:r>
          </w:p>
        </w:tc>
        <w:tc>
          <w:tcPr>
            <w:tcW w:type="dxa" w:w="3600"/>
            <w:tcMar>
              <w:top w:w="100" w:type="dxa"/>
              <w:start w:w="120" w:type="dxa"/>
              <w:bottom w:w="100" w:type="dxa"/>
              <w:end w:w="120" w:type="dxa"/>
            </w:tcMar>
            <w:vAlign w:val="center"/>
          </w:tcPr>
          <w:p>
            <w:pPr>
              <w:jc w:val="center"/>
            </w:pPr>
            <w:r>
              <w:rPr>
                <w:rFonts w:ascii="Calibri" w:hAnsi="Calibri"/>
                <w:b w:val="0"/>
                <w:i w:val="0"/>
                <w:color w:val="1F2933"/>
                <w:sz w:val="19"/>
              </w:rPr>
              <w:t>Karşılaştırıcı genel olarak önde kaldı</w:t>
            </w:r>
          </w:p>
        </w:tc>
      </w:tr>
      <w:tr>
        <w:tc>
          <w:tcPr>
            <w:tcW w:type="dxa" w:w="2448"/>
            <w:tcMar>
              <w:top w:w="100" w:type="dxa"/>
              <w:start w:w="120" w:type="dxa"/>
              <w:bottom w:w="100" w:type="dxa"/>
              <w:end w:w="120" w:type="dxa"/>
            </w:tcMar>
            <w:vAlign w:val="center"/>
          </w:tcPr>
          <w:p>
            <w:pPr>
              <w:jc w:val="left"/>
            </w:pPr>
            <w:r>
              <w:rPr>
                <w:rFonts w:ascii="Calibri" w:hAnsi="Calibri"/>
                <w:b w:val="0"/>
                <w:i w:val="0"/>
                <w:color w:val="1F2933"/>
                <w:sz w:val="19"/>
              </w:rPr>
              <w:t>Öğrenilmiş modellerde ödünleşim</w:t>
            </w:r>
          </w:p>
        </w:tc>
        <w:tc>
          <w:tcPr>
            <w:tcW w:type="dxa" w:w="3312"/>
            <w:tcMar>
              <w:top w:w="100" w:type="dxa"/>
              <w:start w:w="120" w:type="dxa"/>
              <w:bottom w:w="100" w:type="dxa"/>
              <w:end w:w="120" w:type="dxa"/>
            </w:tcMar>
            <w:vAlign w:val="center"/>
          </w:tcPr>
          <w:p>
            <w:pPr>
              <w:jc w:val="center"/>
            </w:pPr>
            <w:r>
              <w:rPr>
                <w:rFonts w:ascii="Calibri" w:hAnsi="Calibri"/>
                <w:b w:val="0"/>
                <w:i w:val="0"/>
                <w:color w:val="1F2933"/>
                <w:sz w:val="19"/>
              </w:rPr>
              <w:t>Yüksek duyarlılık yüksek yanlış alarm getirdi</w:t>
            </w:r>
          </w:p>
        </w:tc>
        <w:tc>
          <w:tcPr>
            <w:tcW w:type="dxa" w:w="3600"/>
            <w:tcMar>
              <w:top w:w="100" w:type="dxa"/>
              <w:start w:w="120" w:type="dxa"/>
              <w:bottom w:w="100" w:type="dxa"/>
              <w:end w:w="120" w:type="dxa"/>
            </w:tcMar>
            <w:vAlign w:val="center"/>
          </w:tcPr>
          <w:p>
            <w:pPr>
              <w:jc w:val="center"/>
            </w:pPr>
            <w:r>
              <w:rPr>
                <w:rFonts w:ascii="Calibri" w:hAnsi="Calibri"/>
                <w:b w:val="0"/>
                <w:i w:val="0"/>
                <w:color w:val="1F2933"/>
                <w:sz w:val="19"/>
              </w:rPr>
              <w:t>Başlangıçta beklenen üstünlük oluşmadı</w:t>
            </w:r>
          </w:p>
        </w:tc>
      </w:tr>
    </w:tbl>
    <w:p>
      <w:pPr>
        <w:pStyle w:val="Heading1"/>
      </w:pPr>
      <w:r>
        <w:t>7. Sonuç ne anlama geliyor, ne anlama gelmiyor?</w:t>
      </w:r>
    </w:p>
    <w:tbl>
      <w:tblPr>
        <w:tblW w:type="auto" w:w="0"/>
        <w:jc w:val="center"/>
        <w:tblLayout w:type="fixed"/>
        <w:tblLook w:firstColumn="1" w:firstRow="1" w:lastColumn="0" w:lastRow="0" w:noHBand="0" w:noVBand="1" w:val="04A0"/>
      </w:tblPr>
      <w:tblGrid>
        <w:gridCol w:w="4680"/>
        <w:gridCol w:w="4680"/>
      </w:tblGrid>
      <w:tr>
        <w:tc>
          <w:tcPr>
            <w:tcW w:type="dxa" w:w="4680"/>
            <w:shd w:fill="E8EEF5"/>
            <w:tcMar>
              <w:top w:w="100" w:type="dxa"/>
              <w:start w:w="120" w:type="dxa"/>
              <w:bottom w:w="100" w:type="dxa"/>
              <w:end w:w="120" w:type="dxa"/>
            </w:tcMar>
            <w:vAlign w:val="center"/>
          </w:tcPr>
          <w:p>
            <w:pPr>
              <w:jc w:val="center"/>
            </w:pPr>
            <w:r>
              <w:rPr>
                <w:rFonts w:ascii="Calibri" w:hAnsi="Calibri"/>
                <w:b/>
                <w:i w:val="0"/>
                <w:color w:val="173A63"/>
                <w:sz w:val="19"/>
              </w:rPr>
              <w:t>Söylenebilir</w:t>
            </w:r>
          </w:p>
        </w:tc>
        <w:tc>
          <w:tcPr>
            <w:tcW w:type="dxa" w:w="4680"/>
            <w:shd w:fill="E8EEF5"/>
            <w:tcMar>
              <w:top w:w="100" w:type="dxa"/>
              <w:start w:w="120" w:type="dxa"/>
              <w:bottom w:w="100" w:type="dxa"/>
              <w:end w:w="120" w:type="dxa"/>
            </w:tcMar>
            <w:vAlign w:val="center"/>
          </w:tcPr>
          <w:p>
            <w:pPr>
              <w:jc w:val="center"/>
            </w:pPr>
            <w:r>
              <w:rPr>
                <w:rFonts w:ascii="Calibri" w:hAnsi="Calibri"/>
                <w:b/>
                <w:i w:val="0"/>
                <w:color w:val="173A63"/>
                <w:sz w:val="19"/>
              </w:rPr>
              <w:t>Söylenemez</w:t>
            </w:r>
          </w:p>
        </w:tc>
      </w:tr>
      <w:tr>
        <w:tc>
          <w:tcPr>
            <w:tcW w:type="dxa" w:w="4680"/>
            <w:tcMar>
              <w:top w:w="100" w:type="dxa"/>
              <w:start w:w="120" w:type="dxa"/>
              <w:bottom w:w="100" w:type="dxa"/>
              <w:end w:w="120" w:type="dxa"/>
            </w:tcMar>
            <w:vAlign w:val="center"/>
          </w:tcPr>
          <w:p>
            <w:pPr>
              <w:jc w:val="left"/>
            </w:pPr>
            <w:r>
              <w:rPr>
                <w:rFonts w:ascii="Calibri" w:hAnsi="Calibri"/>
                <w:b w:val="0"/>
                <w:i w:val="0"/>
                <w:color w:val="1F2933"/>
                <w:sz w:val="19"/>
              </w:rPr>
              <w:t>Hipotez bu veri, vekil hedef ve protokol altında desteklenmedi.</w:t>
            </w:r>
          </w:p>
        </w:tc>
        <w:tc>
          <w:tcPr>
            <w:tcW w:type="dxa" w:w="4680"/>
            <w:tcMar>
              <w:top w:w="100" w:type="dxa"/>
              <w:start w:w="120" w:type="dxa"/>
              <w:bottom w:w="100" w:type="dxa"/>
              <w:end w:w="120" w:type="dxa"/>
            </w:tcMar>
            <w:vAlign w:val="center"/>
          </w:tcPr>
          <w:p>
            <w:pPr>
              <w:jc w:val="center"/>
            </w:pPr>
            <w:r>
              <w:rPr>
                <w:rFonts w:ascii="Calibri" w:hAnsi="Calibri"/>
                <w:b w:val="0"/>
                <w:i w:val="0"/>
                <w:color w:val="1F2933"/>
                <w:sz w:val="19"/>
              </w:rPr>
              <w:t>Makine öğrenmesi uzay enkazı probleminde genel olarak işe yaramaz.</w:t>
            </w:r>
          </w:p>
        </w:tc>
      </w:tr>
      <w:tr>
        <w:tc>
          <w:tcPr>
            <w:tcW w:type="dxa" w:w="4680"/>
            <w:tcMar>
              <w:top w:w="100" w:type="dxa"/>
              <w:start w:w="120" w:type="dxa"/>
              <w:bottom w:w="100" w:type="dxa"/>
              <w:end w:w="120" w:type="dxa"/>
            </w:tcMar>
            <w:vAlign w:val="center"/>
          </w:tcPr>
          <w:p>
            <w:pPr>
              <w:jc w:val="left"/>
            </w:pPr>
            <w:r>
              <w:rPr>
                <w:rFonts w:ascii="Calibri" w:hAnsi="Calibri"/>
                <w:b w:val="0"/>
                <w:i w:val="0"/>
                <w:color w:val="1F2933"/>
                <w:sz w:val="19"/>
              </w:rPr>
              <w:t>Mesafe karşılaştırıcısı bu keşifsel testte daha güçlüydü.</w:t>
            </w:r>
          </w:p>
        </w:tc>
        <w:tc>
          <w:tcPr>
            <w:tcW w:type="dxa" w:w="4680"/>
            <w:tcMar>
              <w:top w:w="100" w:type="dxa"/>
              <w:start w:w="120" w:type="dxa"/>
              <w:bottom w:w="100" w:type="dxa"/>
              <w:end w:w="120" w:type="dxa"/>
            </w:tcMar>
            <w:vAlign w:val="center"/>
          </w:tcPr>
          <w:p>
            <w:pPr>
              <w:jc w:val="center"/>
            </w:pPr>
            <w:r>
              <w:rPr>
                <w:rFonts w:ascii="Calibri" w:hAnsi="Calibri"/>
                <w:b w:val="0"/>
                <w:i w:val="0"/>
                <w:color w:val="1F2933"/>
                <w:sz w:val="19"/>
              </w:rPr>
              <w:t>25 km eşiği operasyonel olarak kesinlikle en iyidir.</w:t>
            </w:r>
          </w:p>
        </w:tc>
      </w:tr>
      <w:tr>
        <w:tc>
          <w:tcPr>
            <w:tcW w:type="dxa" w:w="4680"/>
            <w:tcMar>
              <w:top w:w="100" w:type="dxa"/>
              <w:start w:w="120" w:type="dxa"/>
              <w:bottom w:w="100" w:type="dxa"/>
              <w:end w:w="120" w:type="dxa"/>
            </w:tcMar>
            <w:vAlign w:val="center"/>
          </w:tcPr>
          <w:p>
            <w:pPr>
              <w:jc w:val="left"/>
            </w:pPr>
            <w:r>
              <w:rPr>
                <w:rFonts w:ascii="Calibri" w:hAnsi="Calibri"/>
                <w:b w:val="0"/>
                <w:i w:val="0"/>
                <w:color w:val="1F2933"/>
                <w:sz w:val="19"/>
              </w:rPr>
              <w:t>Sızıntıya dayanıklı test, iyimser sonuçları azaltmıştır.</w:t>
            </w:r>
          </w:p>
        </w:tc>
        <w:tc>
          <w:tcPr>
            <w:tcW w:type="dxa" w:w="4680"/>
            <w:tcMar>
              <w:top w:w="100" w:type="dxa"/>
              <w:start w:w="120" w:type="dxa"/>
              <w:bottom w:w="100" w:type="dxa"/>
              <w:end w:w="120" w:type="dxa"/>
            </w:tcMar>
            <w:vAlign w:val="center"/>
          </w:tcPr>
          <w:p>
            <w:pPr>
              <w:jc w:val="center"/>
            </w:pPr>
            <w:r>
              <w:rPr>
                <w:rFonts w:ascii="Calibri" w:hAnsi="Calibri"/>
                <w:b w:val="0"/>
                <w:i w:val="0"/>
                <w:color w:val="1F2933"/>
                <w:sz w:val="19"/>
              </w:rPr>
              <w:t>Elde edilen skorlar gerçek çarpışma olasılığını temsil eder.</w:t>
            </w:r>
          </w:p>
        </w:tc>
      </w:tr>
      <w:tr>
        <w:tc>
          <w:tcPr>
            <w:tcW w:type="dxa" w:w="4680"/>
            <w:tcMar>
              <w:top w:w="100" w:type="dxa"/>
              <w:start w:w="120" w:type="dxa"/>
              <w:bottom w:w="100" w:type="dxa"/>
              <w:end w:w="120" w:type="dxa"/>
            </w:tcMar>
            <w:vAlign w:val="center"/>
          </w:tcPr>
          <w:p>
            <w:pPr>
              <w:jc w:val="left"/>
            </w:pPr>
            <w:r>
              <w:rPr>
                <w:rFonts w:ascii="Calibri" w:hAnsi="Calibri"/>
                <w:b w:val="0"/>
                <w:i w:val="0"/>
                <w:color w:val="1F2933"/>
                <w:sz w:val="19"/>
              </w:rPr>
              <w:t>Negatif sonuç yöntemsel olarak değerlidir ve raporlanmalıdır.</w:t>
            </w:r>
          </w:p>
        </w:tc>
        <w:tc>
          <w:tcPr>
            <w:tcW w:type="dxa" w:w="4680"/>
            <w:tcMar>
              <w:top w:w="100" w:type="dxa"/>
              <w:start w:w="120" w:type="dxa"/>
              <w:bottom w:w="100" w:type="dxa"/>
              <w:end w:w="120" w:type="dxa"/>
            </w:tcMar>
            <w:vAlign w:val="center"/>
          </w:tcPr>
          <w:p>
            <w:pPr>
              <w:jc w:val="center"/>
            </w:pPr>
            <w:r>
              <w:rPr>
                <w:rFonts w:ascii="Calibri" w:hAnsi="Calibri"/>
                <w:b w:val="0"/>
                <w:i w:val="0"/>
                <w:color w:val="1F2933"/>
                <w:sz w:val="19"/>
              </w:rPr>
              <w:t>Başlangıç hipotezinin evrensel anti-tezi kanıtlanmıştır.</w:t>
            </w:r>
          </w:p>
        </w:tc>
      </w:tr>
    </w:tbl>
    <w:p>
      <w:pPr>
        <w:pStyle w:val="Heading1"/>
      </w:pPr>
      <w:r>
        <w:t>8. Makaledeki nihai ifade neden bu kadar dikkatli?</w:t>
      </w:r>
    </w:p>
    <w:p>
      <w:pPr>
        <w:spacing w:before="0" w:after="120" w:line="264" w:lineRule="auto"/>
      </w:pPr>
      <w:r>
        <w:rPr>
          <w:rFonts w:ascii="Calibri" w:hAnsi="Calibri"/>
          <w:b w:val="0"/>
          <w:i w:val="0"/>
          <w:color w:val="000000"/>
          <w:sz w:val="22"/>
        </w:rPr>
        <w:t>Bilimsel sonuçların gücü, verinin ve hedefin taşıdığı kanıt gücünü aşmamalıdır. Veri kapıları başarısızken 'makine öğrenmesi daha kötüdür' demek aşırı genelleme olurdu. 'Başlangıç hipotezi bu veri, vekil hedef ve değerlendirme protokolü altında desteklenmedi' ifadesi ise bütün sayısal bulgularla uyumlu, savunulabilir ve yeniden üretilebilirdir.</w:t>
      </w:r>
    </w:p>
    <w:tbl>
      <w:tblPr>
        <w:tblW w:type="auto" w:w="0"/>
        <w:jc w:val="center"/>
        <w:tblLayout w:type="fixed"/>
        <w:tblLook w:firstColumn="1" w:firstRow="1" w:lastColumn="0" w:lastRow="0" w:noHBand="0" w:noVBand="1" w:val="04A0"/>
      </w:tblPr>
      <w:tblGrid>
        <w:gridCol w:w="9360"/>
      </w:tblGrid>
      <w:tr>
        <w:tc>
          <w:tcPr>
            <w:tcW w:type="dxa" w:w="9360"/>
            <w:vAlign w:val="center"/>
            <w:shd w:fill="E8EEF5"/>
            <w:tcMar>
              <w:top w:w="160" w:type="dxa"/>
              <w:start w:w="180" w:type="dxa"/>
              <w:bottom w:w="160" w:type="dxa"/>
              <w:end w:w="180" w:type="dxa"/>
            </w:tcMar>
          </w:tcPr>
          <w:p>
            <w:pPr>
              <w:spacing w:after="0"/>
            </w:pPr>
            <w:r>
              <w:rPr>
                <w:rFonts w:ascii="Calibri" w:hAnsi="Calibri"/>
                <w:b/>
                <w:i w:val="0"/>
                <w:color w:val="2E74B5"/>
                <w:sz w:val="22"/>
              </w:rPr>
              <w:t xml:space="preserve">Sunumda kullanılabilecek ifade: </w:t>
            </w:r>
            <w:r>
              <w:rPr>
                <w:rFonts w:ascii="Calibri" w:hAnsi="Calibri"/>
                <w:b w:val="0"/>
                <w:i w:val="0"/>
                <w:color w:val="1F2933"/>
                <w:sz w:val="22"/>
              </w:rPr>
              <w:t>Beklentimiz makine öğrenmesinin yanlış alarmı azaltmasıydı. Ancak katalog çiftlerini ve zamanı birlikte ayırdığımız, gelecekteki hedef bilgilerini özelliklerden çıkardığımız daha sıkı testte bu avantaj ortaya çıkmadı. Üstelik edinim kalite kapıları karşılanmadığı için sonucu doğrulayıcı değil keşifsel olarak raporluyoruz. Çalışmanın ana değeri, yüksek bir skor değil; veri sızıntısını önleyen şeffaf bir değerlendirme tasarımı ve dürüstçe raporlanan negatif bulgudur.</w:t>
            </w:r>
          </w:p>
        </w:tc>
      </w:tr>
    </w:tbl>
    <w:p>
      <w:pPr>
        <w:pStyle w:val="Heading1"/>
      </w:pPr>
      <w:r>
        <w:t>9. Bundan sonra ne yapılmalı?</w:t>
      </w:r>
    </w:p>
    <w:p>
      <w:pPr>
        <w:spacing w:before="0" w:after="100" w:line="264" w:lineRule="auto"/>
      </w:pPr>
      <w:r>
        <w:rPr>
          <w:rFonts w:ascii="Calibri" w:hAnsi="Calibri"/>
          <w:b w:val="0"/>
          <w:i w:val="0"/>
          <w:color w:val="000000"/>
          <w:sz w:val="22"/>
        </w:rPr>
      </w:r>
      <w:r>
        <w:rPr>
          <w:rFonts w:ascii="Calibri" w:hAnsi="Calibri"/>
          <w:b/>
          <w:i w:val="0"/>
          <w:color w:val="1F4D78"/>
          <w:sz w:val="22"/>
        </w:rPr>
        <w:t xml:space="preserve">Daha uzun veri toplama: </w:t>
      </w:r>
      <w:r>
        <w:rPr>
          <w:rFonts w:ascii="Calibri" w:hAnsi="Calibri"/>
          <w:b w:val="0"/>
          <w:i w:val="0"/>
          <w:color w:val="000000"/>
          <w:sz w:val="22"/>
        </w:rPr>
        <w:t>Bağımsız ve daha kesintisiz bir arşivle %90 kapsama ve boşluk kapıları karşılanmalı.</w:t>
      </w:r>
    </w:p>
    <w:p>
      <w:pPr>
        <w:spacing w:before="0" w:after="100" w:line="264" w:lineRule="auto"/>
      </w:pPr>
      <w:r>
        <w:rPr>
          <w:rFonts w:ascii="Calibri" w:hAnsi="Calibri"/>
          <w:b w:val="0"/>
          <w:i w:val="0"/>
          <w:color w:val="000000"/>
          <w:sz w:val="22"/>
        </w:rPr>
      </w:r>
      <w:r>
        <w:rPr>
          <w:rFonts w:ascii="Calibri" w:hAnsi="Calibri"/>
          <w:b/>
          <w:i w:val="0"/>
          <w:color w:val="1F4D78"/>
          <w:sz w:val="22"/>
        </w:rPr>
        <w:t xml:space="preserve">Daha operasyonel hedef: </w:t>
      </w:r>
      <w:r>
        <w:rPr>
          <w:rFonts w:ascii="Calibri" w:hAnsi="Calibri"/>
          <w:b w:val="0"/>
          <w:i w:val="0"/>
          <w:color w:val="000000"/>
          <w:sz w:val="22"/>
        </w:rPr>
        <w:t>CDM, kovaryans, katı cisim yarıçapı, manevra bağlamı ve sonuçlanmış olaylar kullanılmalı.</w:t>
      </w:r>
    </w:p>
    <w:p>
      <w:pPr>
        <w:spacing w:before="0" w:after="100" w:line="264" w:lineRule="auto"/>
      </w:pPr>
      <w:r>
        <w:rPr>
          <w:rFonts w:ascii="Calibri" w:hAnsi="Calibri"/>
          <w:b w:val="0"/>
          <w:i w:val="0"/>
          <w:color w:val="000000"/>
          <w:sz w:val="22"/>
        </w:rPr>
      </w:r>
      <w:r>
        <w:rPr>
          <w:rFonts w:ascii="Calibri" w:hAnsi="Calibri"/>
          <w:b/>
          <w:i w:val="0"/>
          <w:color w:val="1F4D78"/>
          <w:sz w:val="22"/>
        </w:rPr>
        <w:t xml:space="preserve">Aynı sızıntı kontrolü: </w:t>
      </w:r>
      <w:r>
        <w:rPr>
          <w:rFonts w:ascii="Calibri" w:hAnsi="Calibri"/>
          <w:b w:val="0"/>
          <w:i w:val="0"/>
          <w:color w:val="000000"/>
          <w:sz w:val="22"/>
        </w:rPr>
        <w:t>Çift/zaman bölmesi ve hedef tanımlayan özelliklerin dışlanması korunmalı.</w:t>
      </w:r>
    </w:p>
    <w:p>
      <w:pPr>
        <w:spacing w:before="0" w:after="100" w:line="264" w:lineRule="auto"/>
      </w:pPr>
      <w:r>
        <w:rPr>
          <w:rFonts w:ascii="Calibri" w:hAnsi="Calibri"/>
          <w:b w:val="0"/>
          <w:i w:val="0"/>
          <w:color w:val="000000"/>
          <w:sz w:val="22"/>
        </w:rPr>
      </w:r>
      <w:r>
        <w:rPr>
          <w:rFonts w:ascii="Calibri" w:hAnsi="Calibri"/>
          <w:b/>
          <w:i w:val="0"/>
          <w:color w:val="1F4D78"/>
          <w:sz w:val="22"/>
        </w:rPr>
        <w:t xml:space="preserve">Eşik ve kalibrasyon: </w:t>
      </w:r>
      <w:r>
        <w:rPr>
          <w:rFonts w:ascii="Calibri" w:hAnsi="Calibri"/>
          <w:b w:val="0"/>
          <w:i w:val="0"/>
          <w:color w:val="000000"/>
          <w:sz w:val="22"/>
        </w:rPr>
        <w:t>Yalnızca eğitim/doğrulama verisinde belirlenmeli; gerçek test bölümü önceden dondurulmalı.</w:t>
      </w:r>
    </w:p>
    <w:p>
      <w:pPr>
        <w:spacing w:before="0" w:after="100" w:line="264" w:lineRule="auto"/>
      </w:pPr>
      <w:r>
        <w:rPr>
          <w:rFonts w:ascii="Calibri" w:hAnsi="Calibri"/>
          <w:b w:val="0"/>
          <w:i w:val="0"/>
          <w:color w:val="000000"/>
          <w:sz w:val="22"/>
        </w:rPr>
      </w:r>
      <w:r>
        <w:rPr>
          <w:rFonts w:ascii="Calibri" w:hAnsi="Calibri"/>
          <w:b/>
          <w:i w:val="0"/>
          <w:color w:val="1F4D78"/>
          <w:sz w:val="22"/>
        </w:rPr>
        <w:t xml:space="preserve">Doğrulayıcı analiz: </w:t>
      </w:r>
      <w:r>
        <w:rPr>
          <w:rFonts w:ascii="Calibri" w:hAnsi="Calibri"/>
          <w:b w:val="0"/>
          <w:i w:val="0"/>
          <w:color w:val="000000"/>
          <w:sz w:val="22"/>
        </w:rPr>
        <w:t>Önceden tanımlı güven aralıkları ve gelecek blok uyarlanabilirlik testi uygulanmalı.</w:t>
      </w:r>
    </w:p>
    <w:p>
      <w:pPr>
        <w:pStyle w:val="Heading1"/>
      </w:pPr>
      <w:r>
        <w:t>10. Tek cümlelik nihai değerlendirme</w:t>
      </w:r>
    </w:p>
    <w:tbl>
      <w:tblPr>
        <w:tblW w:type="auto" w:w="0"/>
        <w:jc w:val="center"/>
        <w:tblLayout w:type="fixed"/>
        <w:tblLook w:firstColumn="1" w:firstRow="1" w:lastColumn="0" w:lastRow="0" w:noHBand="0" w:noVBand="1" w:val="04A0"/>
      </w:tblPr>
      <w:tblGrid>
        <w:gridCol w:w="9360"/>
      </w:tblGrid>
      <w:tr>
        <w:tc>
          <w:tcPr>
            <w:tcW w:type="dxa" w:w="9360"/>
            <w:vAlign w:val="center"/>
            <w:shd w:fill="EAF4EE"/>
            <w:tcMar>
              <w:top w:w="160" w:type="dxa"/>
              <w:start w:w="180" w:type="dxa"/>
              <w:bottom w:w="160" w:type="dxa"/>
              <w:end w:w="180" w:type="dxa"/>
            </w:tcMar>
          </w:tcPr>
          <w:p>
            <w:pPr>
              <w:spacing w:after="0"/>
            </w:pPr>
            <w:r>
              <w:rPr>
                <w:rFonts w:ascii="Calibri" w:hAnsi="Calibri"/>
                <w:b/>
                <w:i w:val="0"/>
                <w:color w:val="276749"/>
                <w:sz w:val="22"/>
              </w:rPr>
              <w:t xml:space="preserve">Nihai sonuç: </w:t>
            </w:r>
            <w:r>
              <w:rPr>
                <w:rFonts w:ascii="Calibri" w:hAnsi="Calibri"/>
                <w:b w:val="0"/>
                <w:i w:val="0"/>
                <w:color w:val="1F2933"/>
                <w:sz w:val="22"/>
              </w:rPr>
              <w:t>Proje başarısız olmadı; öngörülen model üstünlüğünü doğrulamak yerine, daha sıkı ve dürüst bir test altında bu üstünlüğün mevcut kanıtla desteklenmediğini ve hangi veri/yöntem sınırlamalarının sonucu şekillendirdiğini ortaya koydu.</w:t>
            </w:r>
          </w:p>
        </w:tc>
      </w:tr>
    </w:tbl>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8717A"/>
        <w:sz w:val="17"/>
      </w:rPr>
      <w:t>Mustafa İsa Oruçtutan | IAC-26-A6.IP.6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IAC 2026 Çalışma Sonucu ve Gerekçe Notu</dc:title>
  <dc:subject>Uzay enkazı makine öğrenmesi çalışmasının sonuç akışı</dc:subject>
  <dc:creator>Mustafa İsa Oruçtutan</dc:creator>
  <cp:keywords/>
  <dc:description>generated by python-docx</dc:description>
  <cp:lastModifiedBy/>
  <cp:revision>1</cp:revision>
  <dcterms:created xsi:type="dcterms:W3CDTF">2013-12-23T23:15:00Z</dcterms:created>
  <dcterms:modified xsi:type="dcterms:W3CDTF">2013-12-23T23:15:00Z</dcterms:modified>
  <cp:category/>
</cp:coreProperties>
</file>