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201" w:rsidRDefault="00604398">
      <w:pPr>
        <w:spacing w:after="100"/>
        <w:jc w:val="center"/>
      </w:pPr>
      <w:bookmarkStart w:id="0" w:name="_GoBack"/>
      <w:bookmarkEnd w:id="0"/>
      <w:r>
        <w:rPr>
          <w:rFonts w:eastAsia="Times New Roman"/>
        </w:rPr>
        <w:t>IAC-26-A6.IP.6</w:t>
      </w:r>
    </w:p>
    <w:p w:rsidR="00497201" w:rsidRDefault="00604398">
      <w:pPr>
        <w:keepNext/>
        <w:spacing w:after="100"/>
        <w:jc w:val="center"/>
      </w:pPr>
      <w:r>
        <w:rPr>
          <w:rFonts w:eastAsia="Times New Roman"/>
          <w:b/>
          <w:sz w:val="24"/>
        </w:rPr>
        <w:t>Alçak Dünya Yörüngesinde Uzay Enkazı Çarpışma Riskinin Değerlendirilmesi için Makine Öğrenmesi Tabanlı Simülasyon Yaklaşımı</w:t>
      </w:r>
    </w:p>
    <w:p w:rsidR="00497201" w:rsidRDefault="00604398">
      <w:pPr>
        <w:keepNext/>
        <w:spacing w:after="20"/>
        <w:jc w:val="center"/>
      </w:pPr>
      <w:r>
        <w:rPr>
          <w:rFonts w:eastAsia="Times New Roman"/>
          <w:b/>
        </w:rPr>
        <w:t>Mustafa İsa Oruçtutan*</w:t>
      </w:r>
    </w:p>
    <w:p w:rsidR="00497201" w:rsidRDefault="00604398">
      <w:pPr>
        <w:keepNext/>
        <w:jc w:val="center"/>
      </w:pPr>
      <w:r>
        <w:rPr>
          <w:rFonts w:eastAsia="Times New Roman"/>
          <w:i/>
        </w:rPr>
        <w:t xml:space="preserve">Fırat Üniversitesi, </w:t>
      </w:r>
      <w:r>
        <w:rPr>
          <w:rFonts w:eastAsia="Times New Roman"/>
          <w:i/>
        </w:rPr>
        <w:t>Elazığ, Türkiye</w:t>
      </w:r>
    </w:p>
    <w:p w:rsidR="00497201" w:rsidRDefault="00604398">
      <w:pPr>
        <w:spacing w:after="20"/>
        <w:jc w:val="center"/>
      </w:pPr>
      <w:r>
        <w:rPr>
          <w:rFonts w:eastAsia="Times New Roman"/>
          <w:i/>
        </w:rPr>
        <w:t>mustafaisaoructutan@gmail.com</w:t>
      </w:r>
    </w:p>
    <w:p w:rsidR="00497201" w:rsidRDefault="00604398">
      <w:pPr>
        <w:spacing w:after="80"/>
        <w:jc w:val="left"/>
      </w:pPr>
      <w:r>
        <w:rPr>
          <w:rFonts w:eastAsia="Times New Roman"/>
          <w:sz w:val="18"/>
        </w:rPr>
        <w:t>* Sorumlu yazar</w:t>
      </w:r>
    </w:p>
    <w:p w:rsidR="00497201" w:rsidRDefault="00604398">
      <w:pPr>
        <w:keepNext/>
        <w:spacing w:before="60" w:after="20"/>
        <w:jc w:val="center"/>
      </w:pPr>
      <w:r>
        <w:rPr>
          <w:rFonts w:eastAsia="Times New Roman"/>
          <w:b/>
        </w:rPr>
        <w:t>Özet</w:t>
      </w:r>
    </w:p>
    <w:p w:rsidR="00497201" w:rsidRDefault="00604398">
      <w:pPr>
        <w:spacing w:after="20"/>
      </w:pPr>
      <w:r>
        <w:rPr>
          <w:rFonts w:eastAsia="Times New Roman"/>
        </w:rPr>
        <w:t>Bu çalışma, alçak Dünya yörüngesindeki kataloglanmış nesneler arasındaki yakınlaşma olaylarını kamuya açık İki Satırlı Eleman verileri ve SGP4 yörünge yayılımı kullanarak inceleyen açık kay</w:t>
      </w:r>
      <w:r>
        <w:rPr>
          <w:rFonts w:eastAsia="Times New Roman"/>
        </w:rPr>
        <w:t>naklı bir çerçeve sunmaktadır. Aday karşılaşmalar, ihtiyatlı bir elemenin ardından en yakın yaklaşım zamanının hassas biçimde kestirilmesiyle belirlenmiştir. Belirlenimci vekil etiket, yayılım sonucu elde edilen en küçük ayrılma mesafesini ve en yakın yakl</w:t>
      </w:r>
      <w:r>
        <w:rPr>
          <w:rFonts w:eastAsia="Times New Roman"/>
        </w:rPr>
        <w:t>aşmadaki göreli hızı birleştirmektedir. Zamansal veri sızıntısını ve katalog çifti ezberlemesini önlemek amacıyla modeller kronolojik bir kesim ve ayrılmış nesne çiftleri kullanılarak değerlendirilmiştir. Tamamlanan arşiv 97 doğrulanmış anlık görüntü, 19.0</w:t>
      </w:r>
      <w:r>
        <w:rPr>
          <w:rFonts w:eastAsia="Times New Roman"/>
        </w:rPr>
        <w:t>18 aday çift gözlemi ve 1.469 vekil-pozitif gözlem içermiştir. Ayrılmış test bölümü 2.795 gözlem ve 223 pozitif örnekten oluşmuştur. Öğrenilmiş modeller arasında SVM 0,418 ile en yüksek PR-AUC ve 0,874 ile en yüksek duyarlılığa ulaşırken, LightGBM 0,438 il</w:t>
      </w:r>
      <w:r>
        <w:rPr>
          <w:rFonts w:eastAsia="Times New Roman"/>
        </w:rPr>
        <w:t>e en yüksek F1 değerini elde etmiştir. Buna karşılık yayılıma dayalı mesafe sıralaması 0,725 PR-AUC'ye, sabit 25 km çalışma noktası ise 0,510 F1 değerine ulaşmıştır. Keşifsel karşılaştırma daha iyi bir yanlış alarm dengesi göstermemiştir. Arşiv önceden bel</w:t>
      </w:r>
      <w:r>
        <w:rPr>
          <w:rFonts w:eastAsia="Times New Roman"/>
        </w:rPr>
        <w:t>irlenmiş edinim sıklığı kapılarını karşılamadığı için uyarlanabilirlik iddiası doğrulayıcı olarak değerlendirilememiştir. Bu nedenle bulgular, doğrulayıcı veya operasyonel çarpışma riski performansı olarak değil, pilot kanıt olarak raporlanmıştır. Temel ka</w:t>
      </w:r>
      <w:r>
        <w:rPr>
          <w:rFonts w:eastAsia="Times New Roman"/>
        </w:rPr>
        <w:t>tkı; yeniden üretilebilir, veri sızıntısına dayanıklı bir değerlendirme çerçevesi ile şeffaf bir negatif sonuçtur.</w:t>
      </w:r>
    </w:p>
    <w:p w:rsidR="00497201" w:rsidRDefault="00604398">
      <w:pPr>
        <w:spacing w:after="60"/>
      </w:pPr>
      <w:r>
        <w:rPr>
          <w:rFonts w:eastAsia="Times New Roman"/>
          <w:b/>
        </w:rPr>
        <w:t>Anahtar kelimeler: uzay enkazı; yakınlaşma analizi; SGP4; makine öğrenmesi; zamansal doğrulama; yanlış alarmlar</w:t>
      </w:r>
    </w:p>
    <w:p w:rsidR="00497201" w:rsidRDefault="00604398">
      <w:pPr>
        <w:spacing w:after="60"/>
      </w:pPr>
      <w:r>
        <w:rPr>
          <w:rFonts w:eastAsia="Times New Roman"/>
          <w:b/>
          <w:sz w:val="18"/>
        </w:rPr>
        <w:t>Kısaltmalar: FAR - yanlış ala</w:t>
      </w:r>
      <w:r>
        <w:rPr>
          <w:rFonts w:eastAsia="Times New Roman"/>
          <w:b/>
          <w:sz w:val="18"/>
        </w:rPr>
        <w:t>rm oranı; LEO - alçak Dünya yörüngesi; PR-AUC - kesinlik-duyarlılık eğrisi altında kalan alan; SGP4 - Basitleştirilmiş Genel Tedirginlikler 4; SVM - destek vektör makinesi; TCA - en yakın yaklaşım zamanı; TLE - İki Satırlı Eleman.</w:t>
      </w:r>
    </w:p>
    <w:p w:rsidR="00497201" w:rsidRDefault="00497201">
      <w:pPr>
        <w:sectPr w:rsidR="00497201">
          <w:headerReference w:type="default" r:id="rId7"/>
          <w:footerReference w:type="default" r:id="rId8"/>
          <w:footnotePr>
            <w:pos w:val="beneathText"/>
            <w:numFmt w:val="chicago"/>
          </w:footnotePr>
          <w:endnotePr>
            <w:numFmt w:val="decimal"/>
          </w:endnotePr>
          <w:type w:val="continuous"/>
          <w:pgSz w:w="12240" w:h="15840" w:code="1"/>
          <w:pgMar w:top="1411" w:right="1411" w:bottom="1411" w:left="1411" w:header="389" w:footer="360" w:gutter="0"/>
          <w:cols w:space="360"/>
          <w:docGrid w:linePitch="360"/>
        </w:sectPr>
      </w:pPr>
    </w:p>
    <w:p w:rsidR="00497201" w:rsidRDefault="00604398">
      <w:pPr>
        <w:pStyle w:val="Balk11"/>
        <w:keepNext/>
        <w:spacing w:before="100" w:after="20"/>
        <w:jc w:val="left"/>
        <w:outlineLvl w:val="0"/>
      </w:pPr>
      <w:r>
        <w:rPr>
          <w:rFonts w:eastAsia="Times New Roman"/>
          <w:b/>
        </w:rPr>
        <w:lastRenderedPageBreak/>
        <w:t>1. Giriş</w:t>
      </w:r>
    </w:p>
    <w:p w:rsidR="00497201" w:rsidRDefault="00604398">
      <w:pPr>
        <w:ind w:firstLine="288"/>
      </w:pPr>
      <w:r>
        <w:rPr>
          <w:rFonts w:eastAsia="Times New Roman"/>
        </w:rPr>
        <w:t>LEO'daki aktif uzay aracı ve enkaz nesnelerinin sayısındaki artış, taranması gereken yakınlaşmaların hacmini büyütmektedir. Kamuya açık TLE verileri tekrarlanabilir akademik çalışmaları mümkün kılsa da güvenilir bir ope</w:t>
      </w:r>
      <w:r>
        <w:rPr>
          <w:rFonts w:eastAsia="Times New Roman"/>
        </w:rPr>
        <w:t>rasyonel çarpışma olasılığı için gereken kovaryans, katı cisim yarıçapı ve doğrulanmış sonuç bilgilerini sağlamaz. Bu nedenle çalışma fiziksel çarpışma olasılığı yerine simülasyondan türetilen şeffaf bir vekil hedefi incelemektedir. Ayrım önemlidir: raporl</w:t>
      </w:r>
      <w:r>
        <w:rPr>
          <w:rFonts w:eastAsia="Times New Roman"/>
        </w:rPr>
        <w:t>anan etiketler, doğrulanmış tehlikeli olayları değil, belirtilen varsayımlar altındaki yayılıma dayalı karşılaşma geometrisini tanımlar [9].</w:t>
      </w:r>
    </w:p>
    <w:p w:rsidR="00497201" w:rsidRDefault="00604398">
      <w:pPr>
        <w:ind w:firstLine="288"/>
      </w:pPr>
      <w:r>
        <w:rPr>
          <w:rFonts w:eastAsia="Times New Roman"/>
        </w:rPr>
        <w:t>Tekrarlanan yörünge gözlemlerini kullanan makine öğrenmesi çalışmaları iyimser doğrulamaya özellikle açıktır. Rastg</w:t>
      </w:r>
      <w:r>
        <w:rPr>
          <w:rFonts w:eastAsia="Times New Roman"/>
        </w:rPr>
        <w:t>ele satır bölmeleri aynı katalog çiftini, komşu anlık görüntüleri veya gelecekteki en yakın yaklaşımdan türetilmiş bilgileri hem eğitim hem de test bölümlerine yerleştirebilir. Böylece bir model gerçekte çift kimliğini ezberlerken veya hedefi tanımlayan de</w:t>
      </w:r>
      <w:r>
        <w:rPr>
          <w:rFonts w:eastAsia="Times New Roman"/>
        </w:rPr>
        <w:t>ğişkenlerden yararlanırken genelleme yapıyormuş gibi görünebilir. Bu değerlendirme zamanı ve katalog çiftlerini ayırarak ve öğrenicileri yalnızca gözlem anında mevcut niceliklerle sınırlandırarak her iki riski de ele almaktadır.</w:t>
      </w:r>
    </w:p>
    <w:p w:rsidR="00497201" w:rsidRDefault="00604398">
      <w:pPr>
        <w:ind w:firstLine="288"/>
      </w:pPr>
      <w:r>
        <w:rPr>
          <w:rFonts w:eastAsia="Times New Roman"/>
        </w:rPr>
        <w:lastRenderedPageBreak/>
        <w:t>Kabul edilen çalışma hipote</w:t>
      </w:r>
      <w:r>
        <w:rPr>
          <w:rFonts w:eastAsia="Times New Roman"/>
        </w:rPr>
        <w:t>zi, makine öğrenmesi sınıflandırıcılarının klasik sabit mesafe yöntemine göre daha yüksek uyarlanabilirlik ve daha az yanlış alarm sağlayacağını öngörmüştür. Bu makalenin amacı, veriyi gördükten sonra beklentiyi korumak değil, onu şeffaf biçimde sınamaktır</w:t>
      </w:r>
      <w:r>
        <w:rPr>
          <w:rFonts w:eastAsia="Times New Roman"/>
        </w:rPr>
        <w:t>. Katkılar şunlardır: (i) denetlenebilir bir TLE/SGP4 edinim ve yayılım hattı; (ii) hassas TCA aramasından önce ihtiyatlı eleme; (iii) geleceğe ve hedef tanımına ait bilgileri dışlayan açık bir özellik sınırı; (iv) katalog çiftleri ayrılmış belirlenimci kr</w:t>
      </w:r>
      <w:r>
        <w:rPr>
          <w:rFonts w:eastAsia="Times New Roman"/>
        </w:rPr>
        <w:t>onolojik değerlendirme; ve (v) keşifsel negatif sonucun doğrudan raporlanması.</w:t>
      </w:r>
    </w:p>
    <w:p w:rsidR="00497201" w:rsidRDefault="00604398">
      <w:pPr>
        <w:pStyle w:val="Balk11"/>
        <w:keepNext/>
        <w:spacing w:before="100" w:after="20"/>
        <w:jc w:val="left"/>
        <w:outlineLvl w:val="0"/>
      </w:pPr>
      <w:r>
        <w:rPr>
          <w:rFonts w:eastAsia="Times New Roman"/>
          <w:b/>
        </w:rPr>
        <w:t>2. Veri ve yöntemler</w:t>
      </w:r>
    </w:p>
    <w:p w:rsidR="00497201" w:rsidRDefault="00604398">
      <w:pPr>
        <w:pStyle w:val="Balk21"/>
        <w:keepNext/>
        <w:spacing w:before="60" w:after="20"/>
        <w:jc w:val="left"/>
        <w:outlineLvl w:val="1"/>
      </w:pPr>
      <w:r>
        <w:rPr>
          <w:rFonts w:eastAsia="Times New Roman"/>
          <w:i/>
        </w:rPr>
        <w:t>2.1 Gözlem arşivi ve kalite durumu</w:t>
      </w:r>
    </w:p>
    <w:p w:rsidR="00497201" w:rsidRDefault="00604398">
      <w:pPr>
        <w:ind w:firstLine="288"/>
      </w:pPr>
      <w:r>
        <w:rPr>
          <w:rFonts w:eastAsia="Times New Roman"/>
        </w:rPr>
        <w:t>Dondurulmuş iac26-leo-mixed-75-v2 kataloğu, seçilmiş Iridium 33 ve Cosmos 2251 parçaları ile birden çok eğim rejiminden 7</w:t>
      </w:r>
      <w:r>
        <w:rPr>
          <w:rFonts w:eastAsia="Times New Roman"/>
        </w:rPr>
        <w:t>5 LEO nesnesini içermektedir. TLE anlık görüntüleri CelesTrak'tan [10] istenmiş, kimlik doğrulamalı Space-Track yedeği [11] yapılandırılmış ve değişmez şema-3 paketleri olarak saklanmıştır. Katalog SHA-256 karması 64c3d2329281da0e246226cb552aafe3b961c553c9</w:t>
      </w:r>
      <w:r>
        <w:rPr>
          <w:rFonts w:eastAsia="Times New Roman"/>
        </w:rPr>
        <w:t>487d7cfd9c96374aaa1f4c değeridir. Her paket deney kimliği, yapılandırma, kaynak karmaları, çalışma zamanı kökeni ve simülasyon parametrelerini bağlamaktadır.</w:t>
      </w:r>
    </w:p>
    <w:p w:rsidR="00497201" w:rsidRDefault="00604398">
      <w:pPr>
        <w:ind w:firstLine="288"/>
      </w:pPr>
      <w:r>
        <w:rPr>
          <w:rFonts w:eastAsia="Times New Roman"/>
        </w:rPr>
        <w:lastRenderedPageBreak/>
        <w:t>Tamamlanan iac26-10d-v3 arşivi 26 Temmuz-5 Ağustos 2026 aralığını kapsamakta ve planlanan 120 adet</w:t>
      </w:r>
      <w:r>
        <w:rPr>
          <w:rFonts w:eastAsia="Times New Roman"/>
        </w:rPr>
        <w:t xml:space="preserve"> iki saatlik dilimin 97'sinde doğrulanmış anlık görüntü içermektedir. Kapsama %80,833 ile %90 alt sınırının altında kalmıştır. En büyük boşluk 16,844 saat, en uzun aynı TLE karması dizisi sekiz dilimdir. Bu nedenle kanonik doğrulayıcı sonuç not_enough_data</w:t>
      </w:r>
      <w:r>
        <w:rPr>
          <w:rFonts w:eastAsia="Times New Roman"/>
        </w:rPr>
        <w:t>'dır ve sonuçlar keşifseldir. Önceki v2 koşusu, tekrarlanan aynı TLE girdileri ilgili kapıyı geri döndürülemez biçimde başarısız kıldığı için pilot olarak tutulmuş ve v3 ile birleştirilmemiştir; katalog, eşikler, bölme tohumları ve model ayarları değiştiri</w:t>
      </w:r>
      <w:r>
        <w:rPr>
          <w:rFonts w:eastAsia="Times New Roman"/>
        </w:rPr>
        <w:t>lmemiştir.</w:t>
      </w:r>
    </w:p>
    <w:p w:rsidR="00497201" w:rsidRDefault="00604398">
      <w:pPr>
        <w:pStyle w:val="Balk21"/>
        <w:keepNext/>
        <w:spacing w:before="60" w:after="20"/>
        <w:jc w:val="left"/>
        <w:outlineLvl w:val="1"/>
      </w:pPr>
      <w:r>
        <w:rPr>
          <w:rFonts w:eastAsia="Times New Roman"/>
          <w:i/>
        </w:rPr>
        <w:t>2.2 Yörünge yayılımı, eleme ve vekil hedef</w:t>
      </w:r>
    </w:p>
    <w:p w:rsidR="00497201" w:rsidRDefault="00604398">
      <w:pPr>
        <w:ind w:firstLine="288"/>
      </w:pPr>
      <w:r>
        <w:rPr>
          <w:rFonts w:eastAsia="Times New Roman"/>
        </w:rPr>
        <w:t xml:space="preserve">Durum vektörleri Vallado ve arkadaşlarının [1] belgelediği modernleştirilmiş SGP4 uygulamasıyla 12 saatlik bir ufuk boyunca yayılmıştır. Vektörleştirilmiş 30 saniyelik eleme, yapılandırılmış göreli hız </w:t>
      </w:r>
      <w:r>
        <w:rPr>
          <w:rFonts w:eastAsia="Times New Roman"/>
        </w:rPr>
        <w:t>sınırı ve sayısal güvenlik payı altında 200 km'lik bir karşılaşmanın imkânsız olduğu çiftleri ayırmıştır. Kalan tüm çiftler yerleşik yakın yaklaşma yöntemleriyle [2,13] her 5 dakikalık aralık içinde hassas bir minimum aramasıyla değerlendirilmiştir. 200 km</w:t>
      </w:r>
      <w:r>
        <w:rPr>
          <w:rFonts w:eastAsia="Times New Roman"/>
        </w:rPr>
        <w:t xml:space="preserve"> ve 30 saniye değerleri fiziksel çarpışma eşikleri değil, ihtiyatlı tutma ile hesaplama maliyetini dengeleyen dondurulmuş mühendislik seçimleridir.</w:t>
      </w:r>
    </w:p>
    <w:p w:rsidR="00497201" w:rsidRDefault="00604398">
      <w:pPr>
        <w:ind w:firstLine="288"/>
      </w:pPr>
      <w:r>
        <w:rPr>
          <w:rFonts w:eastAsia="Times New Roman"/>
        </w:rPr>
        <w:t>Bir satır, yayılım sonucu en küçük mesafe en fazla 50 km ve TCA'daki göreli hız en az 10 km/s olduğunda veki</w:t>
      </w:r>
      <w:r>
        <w:rPr>
          <w:rFonts w:eastAsia="Times New Roman"/>
        </w:rPr>
        <w:t>l-pozitif kabul edilmiştir. Düzeltilmiş geçmiş, 1.656 benzersiz katalog çiftinden 19.018 aday gözlem içermekte; 1.469 satır (%7,724) bu kuralı karşılamaktadır. Hedef kasıtlı olarak belirlenimci ve denetlenebilirdir. Kamuya açık TLE'ler operasyonel değerlen</w:t>
      </w:r>
      <w:r>
        <w:rPr>
          <w:rFonts w:eastAsia="Times New Roman"/>
        </w:rPr>
        <w:t>dirme için gereken kovaryans ve katı cisim bilgilerini sağlamadığından bu hedef çarpışma olasılığı değildir [3].</w:t>
      </w:r>
    </w:p>
    <w:p w:rsidR="00497201" w:rsidRDefault="00604398">
      <w:pPr>
        <w:pStyle w:val="Balk21"/>
        <w:keepNext/>
        <w:spacing w:before="60" w:after="20"/>
        <w:jc w:val="left"/>
        <w:outlineLvl w:val="1"/>
      </w:pPr>
      <w:r>
        <w:rPr>
          <w:rFonts w:eastAsia="Times New Roman"/>
          <w:i/>
        </w:rPr>
        <w:t>2.3 Öngörücüler ve sınıflandırıcılar</w:t>
      </w:r>
    </w:p>
    <w:p w:rsidR="00497201" w:rsidRDefault="00604398">
      <w:pPr>
        <w:ind w:firstLine="288"/>
      </w:pPr>
      <w:r>
        <w:rPr>
          <w:rFonts w:eastAsia="Times New Roman"/>
        </w:rPr>
        <w:t xml:space="preserve">Öğrenilmiş modeller altı anlık durum öngörücüsü almaktadır: mevcut çift mesafesi, irtifa farkı, en büyük </w:t>
      </w:r>
      <w:r>
        <w:rPr>
          <w:rFonts w:eastAsia="Times New Roman"/>
        </w:rPr>
        <w:t xml:space="preserve">TLE yaşı, radyal göreli hız, teğetsel göreli hız ve yaklaşma açısı. Gelecekteki minimum mesafe, TCA, </w:t>
      </w:r>
      <w:r>
        <w:rPr>
          <w:rFonts w:eastAsia="Times New Roman"/>
        </w:rPr>
        <w:lastRenderedPageBreak/>
        <w:t>TCA'ya kalan süre, TCA'daki göreli hız, risk puanı ve hedefi tanımlayan ya da yeniden kuran diğer nicelikler dışlanmıştır. Standartlaştırma yalnızca eğitim</w:t>
      </w:r>
      <w:r>
        <w:rPr>
          <w:rFonts w:eastAsia="Times New Roman"/>
        </w:rPr>
        <w:t xml:space="preserve"> bölümünde Lojistik Regresyon ve radyal taban fonksiyonlu SVM için uyarlanmıştır.</w:t>
      </w:r>
    </w:p>
    <w:p w:rsidR="00497201" w:rsidRDefault="00604398">
      <w:pPr>
        <w:ind w:firstLine="288"/>
      </w:pPr>
      <w:r>
        <w:rPr>
          <w:rFonts w:eastAsia="Times New Roman"/>
        </w:rPr>
        <w:t xml:space="preserve">XGBoost [7] önceden belirlenmiş birincil öğrenilmiş modeldir. Lojistik Regresyon, Rastgele Orman [5], SVM [6], Karar Ağacı ve LightGBM [8] scikit-learn uyumlu iş akışlarıyla </w:t>
      </w:r>
      <w:r>
        <w:rPr>
          <w:rFonts w:eastAsia="Times New Roman"/>
        </w:rPr>
        <w:t>[12] yürütülen ikincil keşifsel karşılaştırmalardır. Sınıf ağırlıkları ve XGBoost scale_pos_weight değeri yalnızca eğitim verisinden belirlenmiştir. İkili ölçütler, duyarlılık eşleştirilmiş eşikler yerine uygulamaların varsayılan karar kuralını (olasılık 0</w:t>
      </w:r>
      <w:r>
        <w:rPr>
          <w:rFonts w:eastAsia="Times New Roman"/>
        </w:rPr>
        <w:t>,5 veya SVM karar puanı 0) kullanmıştır. Test kümesinde ayar yapılmamıştır.</w:t>
      </w:r>
    </w:p>
    <w:p w:rsidR="00497201" w:rsidRDefault="00604398">
      <w:pPr>
        <w:pStyle w:val="Balk21"/>
        <w:keepNext/>
        <w:spacing w:before="60" w:after="20"/>
        <w:jc w:val="left"/>
        <w:outlineLvl w:val="1"/>
      </w:pPr>
      <w:r>
        <w:rPr>
          <w:rFonts w:eastAsia="Times New Roman"/>
          <w:i/>
        </w:rPr>
        <w:t>2.4 Veri sızıntısına dayanıklı bölme ve ölçütler</w:t>
      </w:r>
    </w:p>
    <w:p w:rsidR="00497201" w:rsidRDefault="00604398">
      <w:pPr>
        <w:ind w:firstLine="288"/>
      </w:pPr>
      <w:r>
        <w:rPr>
          <w:rFonts w:eastAsia="Times New Roman"/>
        </w:rPr>
        <w:t xml:space="preserve">Kanonik katalog çiftleri tuzlanmış SHA-256 eşlemesiyle belirlenimci biçimde atanmıştır. Gözlenen zamanların %40'ında tam anlık </w:t>
      </w:r>
      <w:r>
        <w:rPr>
          <w:rFonts w:eastAsia="Times New Roman"/>
        </w:rPr>
        <w:t>görüntü blokları arasına bir kesim yerleştirilmiş, katalog çiftlerinin %25'i test için ayrılmıştır. Yalnızca eğitim çiftlerinin kesimden önceki, ayrılmış çiftlerin ise kesimden sonraki gözlemleri kullanılmıştır. Kesim 29 Temmuz 2026 15:13:52 UTC'dir. Topla</w:t>
      </w:r>
      <w:r>
        <w:rPr>
          <w:rFonts w:eastAsia="Times New Roman"/>
        </w:rPr>
        <w:t>m 10.518 çapraz kadran satırı ve bunların 776 pozitifi eğitim ile testin dışında bırakılmıştır. Bu tasarım hem zamansal sızıntıyı hem de çift ezberlemesini önlemektedir.</w:t>
      </w:r>
    </w:p>
    <w:p w:rsidR="00497201" w:rsidRDefault="00604398">
      <w:pPr>
        <w:ind w:firstLine="288"/>
      </w:pPr>
      <w:r>
        <w:rPr>
          <w:rFonts w:eastAsia="Times New Roman"/>
        </w:rPr>
        <w:t>Kesinlik, duyarlılık, F1, doğruluk ve FAR her modelin ikili tahminlerinden hesaplanmış</w:t>
      </w:r>
      <w:r>
        <w:rPr>
          <w:rFonts w:eastAsia="Times New Roman"/>
        </w:rPr>
        <w:t>tır. FAR, FP/(FP+TN) olarak tanımlanmıştır. PR-AUC ve ROC-AUC, sınıf dengesizliğinde doğruluktan daha bilgilendirici olan sürekli karar puanlarını kullanmıştır [4]. Mesafe karşılaştırıcısında ikili karışıklık ölçütleri sabit 25 km alarmını, PR-AUC ve ROC-A</w:t>
      </w:r>
      <w:r>
        <w:rPr>
          <w:rFonts w:eastAsia="Times New Roman"/>
        </w:rPr>
        <w:t>UC ise yayılıma dayalı en küçük mesafenin negatifini sürekli puan olarak kullanmıştır. Aynı mesafe karşılaştırıcısının bu iki görünümü, ikili bir alarmın tam sıralama gibi yorumlanmasını önlemek için ayrı biçimde etiketlenmiştir.</w:t>
      </w:r>
    </w:p>
    <w:p w:rsidR="00497201" w:rsidRDefault="00497201">
      <w:pPr>
        <w:sectPr w:rsidR="00497201">
          <w:footnotePr>
            <w:pos w:val="beneathText"/>
            <w:numFmt w:val="chicago"/>
          </w:footnotePr>
          <w:endnotePr>
            <w:numFmt w:val="decimal"/>
          </w:endnotePr>
          <w:type w:val="continuous"/>
          <w:pgSz w:w="12240" w:h="15840" w:code="1"/>
          <w:pgMar w:top="1411" w:right="1411" w:bottom="1411" w:left="1411" w:header="389" w:footer="360" w:gutter="0"/>
          <w:cols w:num="2" w:space="360"/>
          <w:docGrid w:linePitch="360"/>
        </w:sectPr>
      </w:pPr>
    </w:p>
    <w:p w:rsidR="00497201" w:rsidRDefault="00604398">
      <w:pPr>
        <w:keepNext/>
        <w:jc w:val="center"/>
      </w:pPr>
      <w:r>
        <w:rPr>
          <w:noProof/>
          <w:lang w:val="tr-TR" w:eastAsia="tr-TR"/>
        </w:rPr>
        <w:lastRenderedPageBreak/>
        <w:drawing>
          <wp:inline distT="0" distB="0" distL="0" distR="0">
            <wp:extent cx="5715000" cy="2939143"/>
            <wp:effectExtent l="0" t="0" r="0" b="0"/>
            <wp:docPr id="1" name="Picture 1" descr="Auditable TLE-to-metrics pipeline and pair-by-time split with cross-quadrants excluded." title="Stud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design_and_split.png"/>
                    <pic:cNvPicPr/>
                  </pic:nvPicPr>
                  <pic:blipFill>
                    <a:blip r:embed="rId9"/>
                    <a:stretch>
                      <a:fillRect/>
                    </a:stretch>
                  </pic:blipFill>
                  <pic:spPr>
                    <a:xfrm>
                      <a:off x="0" y="0"/>
                      <a:ext cx="5715000" cy="2939143"/>
                    </a:xfrm>
                    <a:prstGeom prst="rect">
                      <a:avLst/>
                    </a:prstGeom>
                  </pic:spPr>
                </pic:pic>
              </a:graphicData>
            </a:graphic>
          </wp:inline>
        </w:drawing>
      </w:r>
    </w:p>
    <w:p w:rsidR="00497201" w:rsidRDefault="00604398">
      <w:pPr>
        <w:spacing w:after="60"/>
        <w:jc w:val="center"/>
      </w:pPr>
      <w:r>
        <w:rPr>
          <w:rFonts w:eastAsia="Times New Roman"/>
          <w:sz w:val="18"/>
        </w:rPr>
        <w:t>Şekil 1. Denetlenebilir TLE/SGP4 hattı ve veri sızıntısına dayanıklı çift/zaman bölmesi. Testte yalnızca gelecekteki ayrılmış çift kadranı kullanılmış; çapraz kadranlar dışlanmıştır.</w:t>
      </w:r>
    </w:p>
    <w:p w:rsidR="00497201" w:rsidRDefault="00604398">
      <w:pPr>
        <w:pStyle w:val="Balk11"/>
        <w:keepNext/>
        <w:spacing w:before="100" w:after="20"/>
        <w:jc w:val="left"/>
        <w:outlineLvl w:val="0"/>
      </w:pPr>
      <w:r>
        <w:rPr>
          <w:rFonts w:eastAsia="Times New Roman"/>
          <w:b/>
        </w:rPr>
        <w:t>3. Bulgular</w:t>
      </w:r>
    </w:p>
    <w:p w:rsidR="00497201" w:rsidRDefault="00604398">
      <w:pPr>
        <w:pStyle w:val="Balk21"/>
        <w:keepNext/>
        <w:spacing w:before="60" w:after="20"/>
        <w:jc w:val="left"/>
        <w:outlineLvl w:val="1"/>
      </w:pPr>
      <w:r>
        <w:rPr>
          <w:rFonts w:eastAsia="Times New Roman"/>
          <w:i/>
        </w:rPr>
        <w:t>3.1 Veri kümesi ve bölme dest</w:t>
      </w:r>
      <w:r>
        <w:rPr>
          <w:rFonts w:eastAsia="Times New Roman"/>
          <w:i/>
        </w:rPr>
        <w:t>eği</w:t>
      </w:r>
    </w:p>
    <w:p w:rsidR="00497201" w:rsidRDefault="00604398">
      <w:pPr>
        <w:ind w:firstLine="288"/>
      </w:pPr>
      <w:r>
        <w:rPr>
          <w:rFonts w:eastAsia="Times New Roman"/>
        </w:rPr>
        <w:t>Eğitim bölümü 883 katalog çiftinden 5.705 satır ve 470 pozitif örnek içermektedir. Ayrılmış test bölümü ise 361 farklı çiftten 2.795 satır ve 43 pozitif çift ile 58 anlık görüntüye dağılmış 223 pozitif örnek içermektedir. Eğitim ve test arasında katalo</w:t>
      </w:r>
      <w:r>
        <w:rPr>
          <w:rFonts w:eastAsia="Times New Roman"/>
        </w:rPr>
        <w:t>g çifti örtüşmesi yoktur ve her test zaman damgası tüm eğitim zaman damgalarından sonradır. Şekil 2 kanıtın neden keşifsel olduğunu, Tablo 1 ise değerlendirilen veriyi özetlemektedir.</w:t>
      </w:r>
    </w:p>
    <w:p w:rsidR="00497201" w:rsidRDefault="00604398">
      <w:pPr>
        <w:keepNext/>
        <w:jc w:val="center"/>
      </w:pPr>
      <w:r>
        <w:rPr>
          <w:noProof/>
          <w:lang w:val="tr-TR" w:eastAsia="tr-TR"/>
        </w:rPr>
        <w:drawing>
          <wp:inline distT="0" distB="0" distL="0" distR="0">
            <wp:extent cx="5715000" cy="1796143"/>
            <wp:effectExtent l="0" t="0" r="0" b="0"/>
            <wp:docPr id="2" name="Picture 2" descr="Three failed gates: 80.8 percent coverage, 16.84 hour maximum gap, and 8 identical-input bins." title="Acquisition qual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_quality_gates.png"/>
                    <pic:cNvPicPr/>
                  </pic:nvPicPr>
                  <pic:blipFill>
                    <a:blip r:embed="rId10"/>
                    <a:stretch>
                      <a:fillRect/>
                    </a:stretch>
                  </pic:blipFill>
                  <pic:spPr>
                    <a:xfrm>
                      <a:off x="0" y="0"/>
                      <a:ext cx="5715000" cy="1796143"/>
                    </a:xfrm>
                    <a:prstGeom prst="rect">
                      <a:avLst/>
                    </a:prstGeom>
                  </pic:spPr>
                </pic:pic>
              </a:graphicData>
            </a:graphic>
          </wp:inline>
        </w:drawing>
      </w:r>
    </w:p>
    <w:p w:rsidR="00497201" w:rsidRDefault="00604398">
      <w:pPr>
        <w:spacing w:after="60"/>
        <w:jc w:val="center"/>
      </w:pPr>
      <w:r>
        <w:rPr>
          <w:rFonts w:eastAsia="Times New Roman"/>
          <w:sz w:val="18"/>
        </w:rPr>
        <w:t>Şekil 2. Dondurulmuş veri edinim kalite kapıları. Gösterilen üç kapını</w:t>
      </w:r>
      <w:r>
        <w:rPr>
          <w:rFonts w:eastAsia="Times New Roman"/>
          <w:sz w:val="18"/>
        </w:rPr>
        <w:t>n tamamı başarısız olmuştur; bu nedenle model sonuçları keşifseldir.</w:t>
      </w:r>
    </w:p>
    <w:p w:rsidR="00497201" w:rsidRDefault="00604398">
      <w:pPr>
        <w:keepNext/>
        <w:spacing w:after="20"/>
        <w:jc w:val="left"/>
      </w:pPr>
      <w:r>
        <w:rPr>
          <w:rFonts w:eastAsia="Times New Roman"/>
          <w:sz w:val="18"/>
        </w:rPr>
        <w:t>Tablo 1. Arşiv ve veri sızıntısına dayanıklı bölme özeti</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54"/>
        <w:gridCol w:w="2354"/>
        <w:gridCol w:w="2354"/>
        <w:gridCol w:w="2354"/>
      </w:tblGrid>
      <w:tr w:rsidR="00497201">
        <w:trPr>
          <w:tblHeader/>
          <w:jc w:val="center"/>
        </w:trPr>
        <w:tc>
          <w:tcPr>
            <w:tcW w:w="2354" w:type="dxa"/>
            <w:tcBorders>
              <w:bottom w:val="single" w:sz="6" w:space="0" w:color="000000"/>
            </w:tcBorders>
            <w:shd w:val="clear" w:color="auto" w:fill="DCEAF5"/>
            <w:tcMar>
              <w:top w:w="40" w:type="dxa"/>
              <w:left w:w="70" w:type="dxa"/>
              <w:bottom w:w="40" w:type="dxa"/>
              <w:right w:w="70" w:type="dxa"/>
            </w:tcMar>
            <w:vAlign w:val="center"/>
          </w:tcPr>
          <w:p w:rsidR="00497201" w:rsidRDefault="00604398">
            <w:pPr>
              <w:jc w:val="center"/>
            </w:pPr>
            <w:r>
              <w:rPr>
                <w:rFonts w:eastAsia="Times New Roman"/>
                <w:b/>
                <w:sz w:val="16"/>
              </w:rPr>
              <w:t>Bölüm</w:t>
            </w:r>
          </w:p>
        </w:tc>
        <w:tc>
          <w:tcPr>
            <w:tcW w:w="2354" w:type="dxa"/>
            <w:tcBorders>
              <w:bottom w:val="single" w:sz="6" w:space="0" w:color="000000"/>
            </w:tcBorders>
            <w:shd w:val="clear" w:color="auto" w:fill="DCEAF5"/>
            <w:tcMar>
              <w:top w:w="40" w:type="dxa"/>
              <w:left w:w="70" w:type="dxa"/>
              <w:bottom w:w="40" w:type="dxa"/>
              <w:right w:w="70" w:type="dxa"/>
            </w:tcMar>
            <w:vAlign w:val="center"/>
          </w:tcPr>
          <w:p w:rsidR="00497201" w:rsidRDefault="00604398">
            <w:pPr>
              <w:jc w:val="center"/>
            </w:pPr>
            <w:r>
              <w:rPr>
                <w:rFonts w:eastAsia="Times New Roman"/>
                <w:b/>
                <w:sz w:val="16"/>
              </w:rPr>
              <w:t>Satır</w:t>
            </w:r>
          </w:p>
        </w:tc>
        <w:tc>
          <w:tcPr>
            <w:tcW w:w="2354" w:type="dxa"/>
            <w:tcBorders>
              <w:bottom w:val="single" w:sz="6" w:space="0" w:color="000000"/>
            </w:tcBorders>
            <w:shd w:val="clear" w:color="auto" w:fill="DCEAF5"/>
            <w:tcMar>
              <w:top w:w="40" w:type="dxa"/>
              <w:left w:w="70" w:type="dxa"/>
              <w:bottom w:w="40" w:type="dxa"/>
              <w:right w:w="70" w:type="dxa"/>
            </w:tcMar>
            <w:vAlign w:val="center"/>
          </w:tcPr>
          <w:p w:rsidR="00497201" w:rsidRDefault="00604398">
            <w:pPr>
              <w:jc w:val="center"/>
            </w:pPr>
            <w:r>
              <w:rPr>
                <w:rFonts w:eastAsia="Times New Roman"/>
                <w:b/>
                <w:sz w:val="16"/>
              </w:rPr>
              <w:t>Pozitif satır</w:t>
            </w:r>
          </w:p>
        </w:tc>
        <w:tc>
          <w:tcPr>
            <w:tcW w:w="2354" w:type="dxa"/>
            <w:tcBorders>
              <w:bottom w:val="single" w:sz="6" w:space="0" w:color="000000"/>
            </w:tcBorders>
            <w:shd w:val="clear" w:color="auto" w:fill="DCEAF5"/>
            <w:tcMar>
              <w:top w:w="40" w:type="dxa"/>
              <w:left w:w="70" w:type="dxa"/>
              <w:bottom w:w="40" w:type="dxa"/>
              <w:right w:w="70" w:type="dxa"/>
            </w:tcMar>
            <w:vAlign w:val="center"/>
          </w:tcPr>
          <w:p w:rsidR="00497201" w:rsidRDefault="00604398">
            <w:pPr>
              <w:jc w:val="center"/>
            </w:pPr>
            <w:r>
              <w:rPr>
                <w:rFonts w:eastAsia="Times New Roman"/>
                <w:b/>
                <w:sz w:val="16"/>
              </w:rPr>
              <w:t>Katalog çifti</w:t>
            </w:r>
          </w:p>
        </w:tc>
      </w:tr>
      <w:tr w:rsidR="00497201">
        <w:trPr>
          <w:jc w:val="center"/>
        </w:trPr>
        <w:tc>
          <w:tcPr>
            <w:tcW w:w="2354" w:type="dxa"/>
            <w:tcMar>
              <w:top w:w="40" w:type="dxa"/>
              <w:left w:w="70" w:type="dxa"/>
              <w:bottom w:w="40" w:type="dxa"/>
              <w:right w:w="70" w:type="dxa"/>
            </w:tcMar>
            <w:vAlign w:val="center"/>
          </w:tcPr>
          <w:p w:rsidR="00497201" w:rsidRDefault="00604398">
            <w:pPr>
              <w:jc w:val="center"/>
            </w:pPr>
            <w:r>
              <w:rPr>
                <w:rFonts w:eastAsia="Times New Roman"/>
                <w:sz w:val="16"/>
              </w:rPr>
              <w:t>Düzeltilmiş geçmişin tamamı</w:t>
            </w:r>
          </w:p>
        </w:tc>
        <w:tc>
          <w:tcPr>
            <w:tcW w:w="2354" w:type="dxa"/>
            <w:tcMar>
              <w:top w:w="40" w:type="dxa"/>
              <w:left w:w="70" w:type="dxa"/>
              <w:bottom w:w="40" w:type="dxa"/>
              <w:right w:w="70" w:type="dxa"/>
            </w:tcMar>
            <w:vAlign w:val="center"/>
          </w:tcPr>
          <w:p w:rsidR="00497201" w:rsidRDefault="00604398">
            <w:pPr>
              <w:jc w:val="center"/>
            </w:pPr>
            <w:r>
              <w:rPr>
                <w:rFonts w:eastAsia="Times New Roman"/>
                <w:sz w:val="16"/>
              </w:rPr>
              <w:t>19.018</w:t>
            </w:r>
          </w:p>
        </w:tc>
        <w:tc>
          <w:tcPr>
            <w:tcW w:w="2354" w:type="dxa"/>
            <w:tcMar>
              <w:top w:w="40" w:type="dxa"/>
              <w:left w:w="70" w:type="dxa"/>
              <w:bottom w:w="40" w:type="dxa"/>
              <w:right w:w="70" w:type="dxa"/>
            </w:tcMar>
            <w:vAlign w:val="center"/>
          </w:tcPr>
          <w:p w:rsidR="00497201" w:rsidRDefault="00604398">
            <w:pPr>
              <w:jc w:val="center"/>
            </w:pPr>
            <w:r>
              <w:rPr>
                <w:rFonts w:eastAsia="Times New Roman"/>
                <w:sz w:val="16"/>
              </w:rPr>
              <w:t>1.469</w:t>
            </w:r>
          </w:p>
        </w:tc>
        <w:tc>
          <w:tcPr>
            <w:tcW w:w="2354" w:type="dxa"/>
            <w:tcMar>
              <w:top w:w="40" w:type="dxa"/>
              <w:left w:w="70" w:type="dxa"/>
              <w:bottom w:w="40" w:type="dxa"/>
              <w:right w:w="70" w:type="dxa"/>
            </w:tcMar>
            <w:vAlign w:val="center"/>
          </w:tcPr>
          <w:p w:rsidR="00497201" w:rsidRDefault="00604398">
            <w:pPr>
              <w:jc w:val="center"/>
            </w:pPr>
            <w:r>
              <w:rPr>
                <w:rFonts w:eastAsia="Times New Roman"/>
                <w:sz w:val="16"/>
              </w:rPr>
              <w:t>1.656</w:t>
            </w:r>
          </w:p>
        </w:tc>
      </w:tr>
      <w:tr w:rsidR="00497201">
        <w:trPr>
          <w:jc w:val="center"/>
        </w:trPr>
        <w:tc>
          <w:tcPr>
            <w:tcW w:w="2354" w:type="dxa"/>
            <w:shd w:val="clear" w:color="auto" w:fill="ECEFF1"/>
            <w:tcMar>
              <w:top w:w="40" w:type="dxa"/>
              <w:left w:w="70" w:type="dxa"/>
              <w:bottom w:w="40" w:type="dxa"/>
              <w:right w:w="70" w:type="dxa"/>
            </w:tcMar>
            <w:vAlign w:val="center"/>
          </w:tcPr>
          <w:p w:rsidR="00497201" w:rsidRDefault="00604398">
            <w:pPr>
              <w:jc w:val="center"/>
            </w:pPr>
            <w:r>
              <w:rPr>
                <w:rFonts w:eastAsia="Times New Roman"/>
                <w:sz w:val="16"/>
              </w:rPr>
              <w:t>Eğitim</w:t>
            </w:r>
          </w:p>
        </w:tc>
        <w:tc>
          <w:tcPr>
            <w:tcW w:w="2354" w:type="dxa"/>
            <w:shd w:val="clear" w:color="auto" w:fill="ECEFF1"/>
            <w:tcMar>
              <w:top w:w="40" w:type="dxa"/>
              <w:left w:w="70" w:type="dxa"/>
              <w:bottom w:w="40" w:type="dxa"/>
              <w:right w:w="70" w:type="dxa"/>
            </w:tcMar>
            <w:vAlign w:val="center"/>
          </w:tcPr>
          <w:p w:rsidR="00497201" w:rsidRDefault="00604398">
            <w:pPr>
              <w:jc w:val="center"/>
            </w:pPr>
            <w:r>
              <w:rPr>
                <w:rFonts w:eastAsia="Times New Roman"/>
                <w:sz w:val="16"/>
              </w:rPr>
              <w:t>5.705</w:t>
            </w:r>
          </w:p>
        </w:tc>
        <w:tc>
          <w:tcPr>
            <w:tcW w:w="2354" w:type="dxa"/>
            <w:shd w:val="clear" w:color="auto" w:fill="ECEFF1"/>
            <w:tcMar>
              <w:top w:w="40" w:type="dxa"/>
              <w:left w:w="70" w:type="dxa"/>
              <w:bottom w:w="40" w:type="dxa"/>
              <w:right w:w="70" w:type="dxa"/>
            </w:tcMar>
            <w:vAlign w:val="center"/>
          </w:tcPr>
          <w:p w:rsidR="00497201" w:rsidRDefault="00604398">
            <w:pPr>
              <w:jc w:val="center"/>
            </w:pPr>
            <w:r>
              <w:rPr>
                <w:rFonts w:eastAsia="Times New Roman"/>
                <w:sz w:val="16"/>
              </w:rPr>
              <w:t>470</w:t>
            </w:r>
          </w:p>
        </w:tc>
        <w:tc>
          <w:tcPr>
            <w:tcW w:w="2354" w:type="dxa"/>
            <w:shd w:val="clear" w:color="auto" w:fill="ECEFF1"/>
            <w:tcMar>
              <w:top w:w="40" w:type="dxa"/>
              <w:left w:w="70" w:type="dxa"/>
              <w:bottom w:w="40" w:type="dxa"/>
              <w:right w:w="70" w:type="dxa"/>
            </w:tcMar>
            <w:vAlign w:val="center"/>
          </w:tcPr>
          <w:p w:rsidR="00497201" w:rsidRDefault="00604398">
            <w:pPr>
              <w:jc w:val="center"/>
            </w:pPr>
            <w:r>
              <w:rPr>
                <w:rFonts w:eastAsia="Times New Roman"/>
                <w:sz w:val="16"/>
              </w:rPr>
              <w:t>883</w:t>
            </w:r>
          </w:p>
        </w:tc>
      </w:tr>
      <w:tr w:rsidR="00497201">
        <w:trPr>
          <w:jc w:val="center"/>
        </w:trPr>
        <w:tc>
          <w:tcPr>
            <w:tcW w:w="2354" w:type="dxa"/>
            <w:tcMar>
              <w:top w:w="40" w:type="dxa"/>
              <w:left w:w="70" w:type="dxa"/>
              <w:bottom w:w="40" w:type="dxa"/>
              <w:right w:w="70" w:type="dxa"/>
            </w:tcMar>
            <w:vAlign w:val="center"/>
          </w:tcPr>
          <w:p w:rsidR="00497201" w:rsidRDefault="00604398">
            <w:pPr>
              <w:jc w:val="center"/>
            </w:pPr>
            <w:r>
              <w:rPr>
                <w:rFonts w:eastAsia="Times New Roman"/>
                <w:sz w:val="16"/>
              </w:rPr>
              <w:t>Ayrılmış test</w:t>
            </w:r>
          </w:p>
        </w:tc>
        <w:tc>
          <w:tcPr>
            <w:tcW w:w="2354" w:type="dxa"/>
            <w:tcMar>
              <w:top w:w="40" w:type="dxa"/>
              <w:left w:w="70" w:type="dxa"/>
              <w:bottom w:w="40" w:type="dxa"/>
              <w:right w:w="70" w:type="dxa"/>
            </w:tcMar>
            <w:vAlign w:val="center"/>
          </w:tcPr>
          <w:p w:rsidR="00497201" w:rsidRDefault="00604398">
            <w:pPr>
              <w:jc w:val="center"/>
            </w:pPr>
            <w:r>
              <w:rPr>
                <w:rFonts w:eastAsia="Times New Roman"/>
                <w:sz w:val="16"/>
              </w:rPr>
              <w:t>2.795</w:t>
            </w:r>
          </w:p>
        </w:tc>
        <w:tc>
          <w:tcPr>
            <w:tcW w:w="2354" w:type="dxa"/>
            <w:tcMar>
              <w:top w:w="40" w:type="dxa"/>
              <w:left w:w="70" w:type="dxa"/>
              <w:bottom w:w="40" w:type="dxa"/>
              <w:right w:w="70" w:type="dxa"/>
            </w:tcMar>
            <w:vAlign w:val="center"/>
          </w:tcPr>
          <w:p w:rsidR="00497201" w:rsidRDefault="00604398">
            <w:pPr>
              <w:jc w:val="center"/>
            </w:pPr>
            <w:r>
              <w:rPr>
                <w:rFonts w:eastAsia="Times New Roman"/>
                <w:sz w:val="16"/>
              </w:rPr>
              <w:t>223</w:t>
            </w:r>
          </w:p>
        </w:tc>
        <w:tc>
          <w:tcPr>
            <w:tcW w:w="2354" w:type="dxa"/>
            <w:tcMar>
              <w:top w:w="40" w:type="dxa"/>
              <w:left w:w="70" w:type="dxa"/>
              <w:bottom w:w="40" w:type="dxa"/>
              <w:right w:w="70" w:type="dxa"/>
            </w:tcMar>
            <w:vAlign w:val="center"/>
          </w:tcPr>
          <w:p w:rsidR="00497201" w:rsidRDefault="00604398">
            <w:pPr>
              <w:jc w:val="center"/>
            </w:pPr>
            <w:r>
              <w:rPr>
                <w:rFonts w:eastAsia="Times New Roman"/>
                <w:sz w:val="16"/>
              </w:rPr>
              <w:t>361</w:t>
            </w:r>
          </w:p>
        </w:tc>
      </w:tr>
    </w:tbl>
    <w:p w:rsidR="00497201" w:rsidRDefault="00604398">
      <w:pPr>
        <w:pStyle w:val="Balk21"/>
        <w:keepNext/>
        <w:pageBreakBefore/>
        <w:spacing w:before="60" w:after="20"/>
        <w:jc w:val="left"/>
        <w:outlineLvl w:val="1"/>
      </w:pPr>
      <w:r>
        <w:rPr>
          <w:rFonts w:eastAsia="Times New Roman"/>
          <w:i/>
        </w:rPr>
        <w:t>3.2 Ayrılmış testte model karşılaştırması</w:t>
      </w:r>
    </w:p>
    <w:p w:rsidR="00497201" w:rsidRDefault="00604398">
      <w:pPr>
        <w:ind w:firstLine="288"/>
      </w:pPr>
      <w:r>
        <w:rPr>
          <w:rFonts w:eastAsia="Times New Roman"/>
        </w:rPr>
        <w:t xml:space="preserve">Tablo 2, katalog çiftleri ayrılmış gelecekteki test performansını göstermektedir. Mesafe karşılaştırıcısı en güçlü sıralama performansını vermiştir (PR-AUC 0,725; ROC-AUC 0,975). 25 km çalışma noktasında </w:t>
      </w:r>
      <w:r>
        <w:rPr>
          <w:rFonts w:eastAsia="Times New Roman"/>
        </w:rPr>
        <w:t>ayrıca en yüksek F1 (0,510) ve kesinlik (0,754) değerlerine ulaşmıştır. Öğrenilmiş modeller arasında SVM en yüksek PR-AUC (0,418), ROC-AUC (0,904) ve duyarlılığı (0,874), LightGBM ise en yüksek öğrenilmiş model F1 değerini (0,438) elde etmiştir.</w:t>
      </w:r>
    </w:p>
    <w:p w:rsidR="00497201" w:rsidRDefault="00604398">
      <w:pPr>
        <w:keepNext/>
        <w:spacing w:after="20"/>
        <w:jc w:val="left"/>
      </w:pPr>
      <w:r>
        <w:rPr>
          <w:rFonts w:eastAsia="Times New Roman"/>
          <w:sz w:val="18"/>
        </w:rPr>
        <w:t>Tablo 2. K</w:t>
      </w:r>
      <w:r>
        <w:rPr>
          <w:rFonts w:eastAsia="Times New Roman"/>
          <w:sz w:val="18"/>
        </w:rPr>
        <w:t>atalog çiftleri ayrılmış kronolojik test performansı</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45"/>
        <w:gridCol w:w="1345"/>
        <w:gridCol w:w="1345"/>
        <w:gridCol w:w="1345"/>
        <w:gridCol w:w="1345"/>
        <w:gridCol w:w="1345"/>
        <w:gridCol w:w="1345"/>
      </w:tblGrid>
      <w:tr w:rsidR="00497201">
        <w:trPr>
          <w:tblHeader/>
          <w:jc w:val="center"/>
        </w:trPr>
        <w:tc>
          <w:tcPr>
            <w:tcW w:w="3096"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Yöntem</w:t>
            </w:r>
          </w:p>
        </w:tc>
        <w:tc>
          <w:tcPr>
            <w:tcW w:w="1051"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PR-AUC</w:t>
            </w:r>
          </w:p>
        </w:tc>
        <w:tc>
          <w:tcPr>
            <w:tcW w:w="1051"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ROC-AUC</w:t>
            </w:r>
          </w:p>
        </w:tc>
        <w:tc>
          <w:tcPr>
            <w:tcW w:w="1051"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Kesinlik</w:t>
            </w:r>
          </w:p>
        </w:tc>
        <w:tc>
          <w:tcPr>
            <w:tcW w:w="1051"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Duyarlılık</w:t>
            </w:r>
          </w:p>
        </w:tc>
        <w:tc>
          <w:tcPr>
            <w:tcW w:w="1051"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F1</w:t>
            </w:r>
          </w:p>
        </w:tc>
        <w:tc>
          <w:tcPr>
            <w:tcW w:w="1051" w:type="dxa"/>
            <w:tcBorders>
              <w:bottom w:val="single" w:sz="6" w:space="0" w:color="000000"/>
            </w:tcBorders>
            <w:shd w:val="clear" w:color="auto" w:fill="DCEAF5"/>
            <w:tcMar>
              <w:top w:w="40" w:type="dxa"/>
              <w:left w:w="70" w:type="dxa"/>
              <w:bottom w:w="40" w:type="dxa"/>
              <w:right w:w="70" w:type="dxa"/>
            </w:tcMar>
          </w:tcPr>
          <w:p w:rsidR="00497201" w:rsidRDefault="00604398">
            <w:pPr>
              <w:jc w:val="center"/>
            </w:pPr>
            <w:r>
              <w:rPr>
                <w:rFonts w:eastAsia="Times New Roman"/>
                <w:b/>
                <w:sz w:val="15"/>
              </w:rPr>
              <w:t>FAR</w:t>
            </w:r>
          </w:p>
        </w:tc>
      </w:tr>
      <w:tr w:rsidR="00497201">
        <w:trPr>
          <w:jc w:val="center"/>
        </w:trPr>
        <w:tc>
          <w:tcPr>
            <w:tcW w:w="3096" w:type="dxa"/>
            <w:shd w:val="clear" w:color="auto" w:fill="FCE7D2"/>
            <w:tcMar>
              <w:top w:w="40" w:type="dxa"/>
              <w:left w:w="70" w:type="dxa"/>
              <w:bottom w:w="40" w:type="dxa"/>
              <w:right w:w="70" w:type="dxa"/>
            </w:tcMar>
          </w:tcPr>
          <w:p w:rsidR="00497201" w:rsidRDefault="00604398">
            <w:pPr>
              <w:jc w:val="left"/>
            </w:pPr>
            <w:r>
              <w:rPr>
                <w:rFonts w:eastAsia="Times New Roman"/>
                <w:sz w:val="15"/>
              </w:rPr>
              <w:t>Mesafe karşılaştırıcısı</w:t>
            </w:r>
          </w:p>
        </w:tc>
        <w:tc>
          <w:tcPr>
            <w:tcW w:w="1051" w:type="dxa"/>
            <w:shd w:val="clear" w:color="auto" w:fill="FCE7D2"/>
            <w:tcMar>
              <w:top w:w="40" w:type="dxa"/>
              <w:left w:w="70" w:type="dxa"/>
              <w:bottom w:w="40" w:type="dxa"/>
              <w:right w:w="70" w:type="dxa"/>
            </w:tcMar>
          </w:tcPr>
          <w:p w:rsidR="00497201" w:rsidRDefault="00604398">
            <w:pPr>
              <w:jc w:val="center"/>
            </w:pPr>
            <w:r>
              <w:rPr>
                <w:rFonts w:eastAsia="Times New Roman"/>
                <w:sz w:val="15"/>
              </w:rPr>
              <w:t>0,725</w:t>
            </w:r>
          </w:p>
        </w:tc>
        <w:tc>
          <w:tcPr>
            <w:tcW w:w="1051" w:type="dxa"/>
            <w:shd w:val="clear" w:color="auto" w:fill="FCE7D2"/>
            <w:tcMar>
              <w:top w:w="40" w:type="dxa"/>
              <w:left w:w="70" w:type="dxa"/>
              <w:bottom w:w="40" w:type="dxa"/>
              <w:right w:w="70" w:type="dxa"/>
            </w:tcMar>
          </w:tcPr>
          <w:p w:rsidR="00497201" w:rsidRDefault="00604398">
            <w:pPr>
              <w:jc w:val="center"/>
            </w:pPr>
            <w:r>
              <w:rPr>
                <w:rFonts w:eastAsia="Times New Roman"/>
                <w:sz w:val="15"/>
              </w:rPr>
              <w:t>0,975</w:t>
            </w:r>
          </w:p>
        </w:tc>
        <w:tc>
          <w:tcPr>
            <w:tcW w:w="1051" w:type="dxa"/>
            <w:shd w:val="clear" w:color="auto" w:fill="FCE7D2"/>
            <w:tcMar>
              <w:top w:w="40" w:type="dxa"/>
              <w:left w:w="70" w:type="dxa"/>
              <w:bottom w:w="40" w:type="dxa"/>
              <w:right w:w="70" w:type="dxa"/>
            </w:tcMar>
          </w:tcPr>
          <w:p w:rsidR="00497201" w:rsidRDefault="00604398">
            <w:pPr>
              <w:jc w:val="center"/>
            </w:pPr>
            <w:r>
              <w:rPr>
                <w:rFonts w:eastAsia="Times New Roman"/>
                <w:sz w:val="15"/>
              </w:rPr>
              <w:t>0,754</w:t>
            </w:r>
          </w:p>
        </w:tc>
        <w:tc>
          <w:tcPr>
            <w:tcW w:w="1051" w:type="dxa"/>
            <w:shd w:val="clear" w:color="auto" w:fill="FCE7D2"/>
            <w:tcMar>
              <w:top w:w="40" w:type="dxa"/>
              <w:left w:w="70" w:type="dxa"/>
              <w:bottom w:w="40" w:type="dxa"/>
              <w:right w:w="70" w:type="dxa"/>
            </w:tcMar>
          </w:tcPr>
          <w:p w:rsidR="00497201" w:rsidRDefault="00604398">
            <w:pPr>
              <w:jc w:val="center"/>
            </w:pPr>
            <w:r>
              <w:rPr>
                <w:rFonts w:eastAsia="Times New Roman"/>
                <w:sz w:val="15"/>
              </w:rPr>
              <w:t>0,386</w:t>
            </w:r>
          </w:p>
        </w:tc>
        <w:tc>
          <w:tcPr>
            <w:tcW w:w="1051" w:type="dxa"/>
            <w:shd w:val="clear" w:color="auto" w:fill="FCE7D2"/>
            <w:tcMar>
              <w:top w:w="40" w:type="dxa"/>
              <w:left w:w="70" w:type="dxa"/>
              <w:bottom w:w="40" w:type="dxa"/>
              <w:right w:w="70" w:type="dxa"/>
            </w:tcMar>
          </w:tcPr>
          <w:p w:rsidR="00497201" w:rsidRDefault="00604398">
            <w:pPr>
              <w:jc w:val="center"/>
            </w:pPr>
            <w:r>
              <w:rPr>
                <w:rFonts w:eastAsia="Times New Roman"/>
                <w:sz w:val="15"/>
              </w:rPr>
              <w:t>0,510</w:t>
            </w:r>
          </w:p>
        </w:tc>
        <w:tc>
          <w:tcPr>
            <w:tcW w:w="1051" w:type="dxa"/>
            <w:shd w:val="clear" w:color="auto" w:fill="FCE7D2"/>
            <w:tcMar>
              <w:top w:w="40" w:type="dxa"/>
              <w:left w:w="70" w:type="dxa"/>
              <w:bottom w:w="40" w:type="dxa"/>
              <w:right w:w="70" w:type="dxa"/>
            </w:tcMar>
          </w:tcPr>
          <w:p w:rsidR="00497201" w:rsidRDefault="00604398">
            <w:pPr>
              <w:jc w:val="center"/>
            </w:pPr>
            <w:r>
              <w:rPr>
                <w:rFonts w:eastAsia="Times New Roman"/>
                <w:sz w:val="15"/>
              </w:rPr>
              <w:t>0,011</w:t>
            </w:r>
          </w:p>
        </w:tc>
      </w:tr>
      <w:tr w:rsidR="00497201">
        <w:trPr>
          <w:jc w:val="center"/>
        </w:trPr>
        <w:tc>
          <w:tcPr>
            <w:tcW w:w="3096" w:type="dxa"/>
            <w:tcMar>
              <w:top w:w="40" w:type="dxa"/>
              <w:left w:w="70" w:type="dxa"/>
              <w:bottom w:w="40" w:type="dxa"/>
              <w:right w:w="70" w:type="dxa"/>
            </w:tcMar>
          </w:tcPr>
          <w:p w:rsidR="00497201" w:rsidRDefault="00604398">
            <w:pPr>
              <w:jc w:val="left"/>
            </w:pPr>
            <w:r>
              <w:rPr>
                <w:rFonts w:eastAsia="Times New Roman"/>
                <w:sz w:val="15"/>
              </w:rPr>
              <w:t>Lojistik regresyon</w:t>
            </w:r>
          </w:p>
        </w:tc>
        <w:tc>
          <w:tcPr>
            <w:tcW w:w="1051" w:type="dxa"/>
            <w:tcMar>
              <w:top w:w="40" w:type="dxa"/>
              <w:left w:w="70" w:type="dxa"/>
              <w:bottom w:w="40" w:type="dxa"/>
              <w:right w:w="70" w:type="dxa"/>
            </w:tcMar>
          </w:tcPr>
          <w:p w:rsidR="00497201" w:rsidRDefault="00604398">
            <w:pPr>
              <w:jc w:val="center"/>
            </w:pPr>
            <w:r>
              <w:rPr>
                <w:rFonts w:eastAsia="Times New Roman"/>
                <w:sz w:val="15"/>
              </w:rPr>
              <w:t>0,385</w:t>
            </w:r>
          </w:p>
        </w:tc>
        <w:tc>
          <w:tcPr>
            <w:tcW w:w="1051" w:type="dxa"/>
            <w:tcMar>
              <w:top w:w="40" w:type="dxa"/>
              <w:left w:w="70" w:type="dxa"/>
              <w:bottom w:w="40" w:type="dxa"/>
              <w:right w:w="70" w:type="dxa"/>
            </w:tcMar>
          </w:tcPr>
          <w:p w:rsidR="00497201" w:rsidRDefault="00604398">
            <w:pPr>
              <w:jc w:val="center"/>
            </w:pPr>
            <w:r>
              <w:rPr>
                <w:rFonts w:eastAsia="Times New Roman"/>
                <w:sz w:val="15"/>
              </w:rPr>
              <w:t>0,826</w:t>
            </w:r>
          </w:p>
        </w:tc>
        <w:tc>
          <w:tcPr>
            <w:tcW w:w="1051" w:type="dxa"/>
            <w:tcMar>
              <w:top w:w="40" w:type="dxa"/>
              <w:left w:w="70" w:type="dxa"/>
              <w:bottom w:w="40" w:type="dxa"/>
              <w:right w:w="70" w:type="dxa"/>
            </w:tcMar>
          </w:tcPr>
          <w:p w:rsidR="00497201" w:rsidRDefault="00604398">
            <w:pPr>
              <w:jc w:val="center"/>
            </w:pPr>
            <w:r>
              <w:rPr>
                <w:rFonts w:eastAsia="Times New Roman"/>
                <w:sz w:val="15"/>
              </w:rPr>
              <w:t>0,170</w:t>
            </w:r>
          </w:p>
        </w:tc>
        <w:tc>
          <w:tcPr>
            <w:tcW w:w="1051" w:type="dxa"/>
            <w:tcMar>
              <w:top w:w="40" w:type="dxa"/>
              <w:left w:w="70" w:type="dxa"/>
              <w:bottom w:w="40" w:type="dxa"/>
              <w:right w:w="70" w:type="dxa"/>
            </w:tcMar>
          </w:tcPr>
          <w:p w:rsidR="00497201" w:rsidRDefault="00604398">
            <w:pPr>
              <w:jc w:val="center"/>
            </w:pPr>
            <w:r>
              <w:rPr>
                <w:rFonts w:eastAsia="Times New Roman"/>
                <w:sz w:val="15"/>
              </w:rPr>
              <w:t>0,839</w:t>
            </w:r>
          </w:p>
        </w:tc>
        <w:tc>
          <w:tcPr>
            <w:tcW w:w="1051" w:type="dxa"/>
            <w:tcMar>
              <w:top w:w="40" w:type="dxa"/>
              <w:left w:w="70" w:type="dxa"/>
              <w:bottom w:w="40" w:type="dxa"/>
              <w:right w:w="70" w:type="dxa"/>
            </w:tcMar>
          </w:tcPr>
          <w:p w:rsidR="00497201" w:rsidRDefault="00604398">
            <w:pPr>
              <w:jc w:val="center"/>
            </w:pPr>
            <w:r>
              <w:rPr>
                <w:rFonts w:eastAsia="Times New Roman"/>
                <w:sz w:val="15"/>
              </w:rPr>
              <w:t>0,283</w:t>
            </w:r>
          </w:p>
        </w:tc>
        <w:tc>
          <w:tcPr>
            <w:tcW w:w="1051" w:type="dxa"/>
            <w:tcMar>
              <w:top w:w="40" w:type="dxa"/>
              <w:left w:w="70" w:type="dxa"/>
              <w:bottom w:w="40" w:type="dxa"/>
              <w:right w:w="70" w:type="dxa"/>
            </w:tcMar>
          </w:tcPr>
          <w:p w:rsidR="00497201" w:rsidRDefault="00604398">
            <w:pPr>
              <w:jc w:val="center"/>
            </w:pPr>
            <w:r>
              <w:rPr>
                <w:rFonts w:eastAsia="Times New Roman"/>
                <w:sz w:val="15"/>
              </w:rPr>
              <w:t>0,355</w:t>
            </w:r>
          </w:p>
        </w:tc>
      </w:tr>
      <w:tr w:rsidR="00497201">
        <w:trPr>
          <w:jc w:val="center"/>
        </w:trPr>
        <w:tc>
          <w:tcPr>
            <w:tcW w:w="3096" w:type="dxa"/>
            <w:tcMar>
              <w:top w:w="40" w:type="dxa"/>
              <w:left w:w="70" w:type="dxa"/>
              <w:bottom w:w="40" w:type="dxa"/>
              <w:right w:w="70" w:type="dxa"/>
            </w:tcMar>
          </w:tcPr>
          <w:p w:rsidR="00497201" w:rsidRDefault="00604398">
            <w:pPr>
              <w:jc w:val="left"/>
            </w:pPr>
            <w:r>
              <w:rPr>
                <w:rFonts w:eastAsia="Times New Roman"/>
                <w:sz w:val="15"/>
              </w:rPr>
              <w:t>Karar ağacı</w:t>
            </w:r>
          </w:p>
        </w:tc>
        <w:tc>
          <w:tcPr>
            <w:tcW w:w="1051" w:type="dxa"/>
            <w:tcMar>
              <w:top w:w="40" w:type="dxa"/>
              <w:left w:w="70" w:type="dxa"/>
              <w:bottom w:w="40" w:type="dxa"/>
              <w:right w:w="70" w:type="dxa"/>
            </w:tcMar>
          </w:tcPr>
          <w:p w:rsidR="00497201" w:rsidRDefault="00604398">
            <w:pPr>
              <w:jc w:val="center"/>
            </w:pPr>
            <w:r>
              <w:rPr>
                <w:rFonts w:eastAsia="Times New Roman"/>
                <w:sz w:val="15"/>
              </w:rPr>
              <w:t>0,137</w:t>
            </w:r>
          </w:p>
        </w:tc>
        <w:tc>
          <w:tcPr>
            <w:tcW w:w="1051" w:type="dxa"/>
            <w:tcMar>
              <w:top w:w="40" w:type="dxa"/>
              <w:left w:w="70" w:type="dxa"/>
              <w:bottom w:w="40" w:type="dxa"/>
              <w:right w:w="70" w:type="dxa"/>
            </w:tcMar>
          </w:tcPr>
          <w:p w:rsidR="00497201" w:rsidRDefault="00604398">
            <w:pPr>
              <w:jc w:val="center"/>
            </w:pPr>
            <w:r>
              <w:rPr>
                <w:rFonts w:eastAsia="Times New Roman"/>
                <w:sz w:val="15"/>
              </w:rPr>
              <w:t>0,608</w:t>
            </w:r>
          </w:p>
        </w:tc>
        <w:tc>
          <w:tcPr>
            <w:tcW w:w="1051" w:type="dxa"/>
            <w:tcMar>
              <w:top w:w="40" w:type="dxa"/>
              <w:left w:w="70" w:type="dxa"/>
              <w:bottom w:w="40" w:type="dxa"/>
              <w:right w:w="70" w:type="dxa"/>
            </w:tcMar>
          </w:tcPr>
          <w:p w:rsidR="00497201" w:rsidRDefault="00604398">
            <w:pPr>
              <w:jc w:val="center"/>
            </w:pPr>
            <w:r>
              <w:rPr>
                <w:rFonts w:eastAsia="Times New Roman"/>
                <w:sz w:val="15"/>
              </w:rPr>
              <w:t>0,289</w:t>
            </w:r>
          </w:p>
        </w:tc>
        <w:tc>
          <w:tcPr>
            <w:tcW w:w="1051" w:type="dxa"/>
            <w:tcMar>
              <w:top w:w="40" w:type="dxa"/>
              <w:left w:w="70" w:type="dxa"/>
              <w:bottom w:w="40" w:type="dxa"/>
              <w:right w:w="70" w:type="dxa"/>
            </w:tcMar>
          </w:tcPr>
          <w:p w:rsidR="00497201" w:rsidRDefault="00604398">
            <w:pPr>
              <w:jc w:val="center"/>
            </w:pPr>
            <w:r>
              <w:rPr>
                <w:rFonts w:eastAsia="Times New Roman"/>
                <w:sz w:val="15"/>
              </w:rPr>
              <w:t>0,274</w:t>
            </w:r>
          </w:p>
        </w:tc>
        <w:tc>
          <w:tcPr>
            <w:tcW w:w="1051" w:type="dxa"/>
            <w:tcMar>
              <w:top w:w="40" w:type="dxa"/>
              <w:left w:w="70" w:type="dxa"/>
              <w:bottom w:w="40" w:type="dxa"/>
              <w:right w:w="70" w:type="dxa"/>
            </w:tcMar>
          </w:tcPr>
          <w:p w:rsidR="00497201" w:rsidRDefault="00604398">
            <w:pPr>
              <w:jc w:val="center"/>
            </w:pPr>
            <w:r>
              <w:rPr>
                <w:rFonts w:eastAsia="Times New Roman"/>
                <w:sz w:val="15"/>
              </w:rPr>
              <w:t>0,281</w:t>
            </w:r>
          </w:p>
        </w:tc>
        <w:tc>
          <w:tcPr>
            <w:tcW w:w="1051" w:type="dxa"/>
            <w:tcMar>
              <w:top w:w="40" w:type="dxa"/>
              <w:left w:w="70" w:type="dxa"/>
              <w:bottom w:w="40" w:type="dxa"/>
              <w:right w:w="70" w:type="dxa"/>
            </w:tcMar>
          </w:tcPr>
          <w:p w:rsidR="00497201" w:rsidRDefault="00604398">
            <w:pPr>
              <w:jc w:val="center"/>
            </w:pPr>
            <w:r>
              <w:rPr>
                <w:rFonts w:eastAsia="Times New Roman"/>
                <w:sz w:val="15"/>
              </w:rPr>
              <w:t>0,058</w:t>
            </w:r>
          </w:p>
        </w:tc>
      </w:tr>
      <w:tr w:rsidR="00497201">
        <w:trPr>
          <w:jc w:val="center"/>
        </w:trPr>
        <w:tc>
          <w:tcPr>
            <w:tcW w:w="3096" w:type="dxa"/>
            <w:tcMar>
              <w:top w:w="40" w:type="dxa"/>
              <w:left w:w="70" w:type="dxa"/>
              <w:bottom w:w="40" w:type="dxa"/>
              <w:right w:w="70" w:type="dxa"/>
            </w:tcMar>
          </w:tcPr>
          <w:p w:rsidR="00497201" w:rsidRDefault="00604398">
            <w:pPr>
              <w:jc w:val="left"/>
            </w:pPr>
            <w:r>
              <w:rPr>
                <w:rFonts w:eastAsia="Times New Roman"/>
                <w:sz w:val="15"/>
              </w:rPr>
              <w:t>Rastgele orman</w:t>
            </w:r>
          </w:p>
        </w:tc>
        <w:tc>
          <w:tcPr>
            <w:tcW w:w="1051" w:type="dxa"/>
            <w:tcMar>
              <w:top w:w="40" w:type="dxa"/>
              <w:left w:w="70" w:type="dxa"/>
              <w:bottom w:w="40" w:type="dxa"/>
              <w:right w:w="70" w:type="dxa"/>
            </w:tcMar>
          </w:tcPr>
          <w:p w:rsidR="00497201" w:rsidRDefault="00604398">
            <w:pPr>
              <w:jc w:val="center"/>
            </w:pPr>
            <w:r>
              <w:rPr>
                <w:rFonts w:eastAsia="Times New Roman"/>
                <w:sz w:val="15"/>
              </w:rPr>
              <w:t>0,412</w:t>
            </w:r>
          </w:p>
        </w:tc>
        <w:tc>
          <w:tcPr>
            <w:tcW w:w="1051" w:type="dxa"/>
            <w:tcMar>
              <w:top w:w="40" w:type="dxa"/>
              <w:left w:w="70" w:type="dxa"/>
              <w:bottom w:w="40" w:type="dxa"/>
              <w:right w:w="70" w:type="dxa"/>
            </w:tcMar>
          </w:tcPr>
          <w:p w:rsidR="00497201" w:rsidRDefault="00604398">
            <w:pPr>
              <w:jc w:val="center"/>
            </w:pPr>
            <w:r>
              <w:rPr>
                <w:rFonts w:eastAsia="Times New Roman"/>
                <w:sz w:val="15"/>
              </w:rPr>
              <w:t>0,877</w:t>
            </w:r>
          </w:p>
        </w:tc>
        <w:tc>
          <w:tcPr>
            <w:tcW w:w="1051" w:type="dxa"/>
            <w:tcMar>
              <w:top w:w="40" w:type="dxa"/>
              <w:left w:w="70" w:type="dxa"/>
              <w:bottom w:w="40" w:type="dxa"/>
              <w:right w:w="70" w:type="dxa"/>
            </w:tcMar>
          </w:tcPr>
          <w:p w:rsidR="00497201" w:rsidRDefault="00604398">
            <w:pPr>
              <w:jc w:val="center"/>
            </w:pPr>
            <w:r>
              <w:rPr>
                <w:rFonts w:eastAsia="Times New Roman"/>
                <w:sz w:val="15"/>
              </w:rPr>
              <w:t>0,620</w:t>
            </w:r>
          </w:p>
        </w:tc>
        <w:tc>
          <w:tcPr>
            <w:tcW w:w="1051" w:type="dxa"/>
            <w:tcMar>
              <w:top w:w="40" w:type="dxa"/>
              <w:left w:w="70" w:type="dxa"/>
              <w:bottom w:w="40" w:type="dxa"/>
              <w:right w:w="70" w:type="dxa"/>
            </w:tcMar>
          </w:tcPr>
          <w:p w:rsidR="00497201" w:rsidRDefault="00604398">
            <w:pPr>
              <w:jc w:val="center"/>
            </w:pPr>
            <w:r>
              <w:rPr>
                <w:rFonts w:eastAsia="Times New Roman"/>
                <w:sz w:val="15"/>
              </w:rPr>
              <w:t>0,197</w:t>
            </w:r>
          </w:p>
        </w:tc>
        <w:tc>
          <w:tcPr>
            <w:tcW w:w="1051" w:type="dxa"/>
            <w:tcMar>
              <w:top w:w="40" w:type="dxa"/>
              <w:left w:w="70" w:type="dxa"/>
              <w:bottom w:w="40" w:type="dxa"/>
              <w:right w:w="70" w:type="dxa"/>
            </w:tcMar>
          </w:tcPr>
          <w:p w:rsidR="00497201" w:rsidRDefault="00604398">
            <w:pPr>
              <w:jc w:val="center"/>
            </w:pPr>
            <w:r>
              <w:rPr>
                <w:rFonts w:eastAsia="Times New Roman"/>
                <w:sz w:val="15"/>
              </w:rPr>
              <w:t>0,299</w:t>
            </w:r>
          </w:p>
        </w:tc>
        <w:tc>
          <w:tcPr>
            <w:tcW w:w="1051" w:type="dxa"/>
            <w:tcMar>
              <w:top w:w="40" w:type="dxa"/>
              <w:left w:w="70" w:type="dxa"/>
              <w:bottom w:w="40" w:type="dxa"/>
              <w:right w:w="70" w:type="dxa"/>
            </w:tcMar>
          </w:tcPr>
          <w:p w:rsidR="00497201" w:rsidRDefault="00604398">
            <w:pPr>
              <w:jc w:val="center"/>
            </w:pPr>
            <w:r>
              <w:rPr>
                <w:rFonts w:eastAsia="Times New Roman"/>
                <w:sz w:val="15"/>
              </w:rPr>
              <w:t>0,010</w:t>
            </w:r>
          </w:p>
        </w:tc>
      </w:tr>
      <w:tr w:rsidR="00497201">
        <w:trPr>
          <w:jc w:val="center"/>
        </w:trPr>
        <w:tc>
          <w:tcPr>
            <w:tcW w:w="3096" w:type="dxa"/>
            <w:tcMar>
              <w:top w:w="40" w:type="dxa"/>
              <w:left w:w="70" w:type="dxa"/>
              <w:bottom w:w="40" w:type="dxa"/>
              <w:right w:w="70" w:type="dxa"/>
            </w:tcMar>
          </w:tcPr>
          <w:p w:rsidR="00497201" w:rsidRDefault="00604398">
            <w:pPr>
              <w:jc w:val="left"/>
            </w:pPr>
            <w:r>
              <w:rPr>
                <w:rFonts w:eastAsia="Times New Roman"/>
                <w:sz w:val="15"/>
              </w:rPr>
              <w:t>SVM</w:t>
            </w:r>
          </w:p>
        </w:tc>
        <w:tc>
          <w:tcPr>
            <w:tcW w:w="1051" w:type="dxa"/>
            <w:tcMar>
              <w:top w:w="40" w:type="dxa"/>
              <w:left w:w="70" w:type="dxa"/>
              <w:bottom w:w="40" w:type="dxa"/>
              <w:right w:w="70" w:type="dxa"/>
            </w:tcMar>
          </w:tcPr>
          <w:p w:rsidR="00497201" w:rsidRDefault="00604398">
            <w:pPr>
              <w:jc w:val="center"/>
            </w:pPr>
            <w:r>
              <w:rPr>
                <w:rFonts w:eastAsia="Times New Roman"/>
                <w:sz w:val="15"/>
              </w:rPr>
              <w:t>0,418</w:t>
            </w:r>
          </w:p>
        </w:tc>
        <w:tc>
          <w:tcPr>
            <w:tcW w:w="1051" w:type="dxa"/>
            <w:tcMar>
              <w:top w:w="40" w:type="dxa"/>
              <w:left w:w="70" w:type="dxa"/>
              <w:bottom w:w="40" w:type="dxa"/>
              <w:right w:w="70" w:type="dxa"/>
            </w:tcMar>
          </w:tcPr>
          <w:p w:rsidR="00497201" w:rsidRDefault="00604398">
            <w:pPr>
              <w:jc w:val="center"/>
            </w:pPr>
            <w:r>
              <w:rPr>
                <w:rFonts w:eastAsia="Times New Roman"/>
                <w:sz w:val="15"/>
              </w:rPr>
              <w:t>0,904</w:t>
            </w:r>
          </w:p>
        </w:tc>
        <w:tc>
          <w:tcPr>
            <w:tcW w:w="1051" w:type="dxa"/>
            <w:tcMar>
              <w:top w:w="40" w:type="dxa"/>
              <w:left w:w="70" w:type="dxa"/>
              <w:bottom w:w="40" w:type="dxa"/>
              <w:right w:w="70" w:type="dxa"/>
            </w:tcMar>
          </w:tcPr>
          <w:p w:rsidR="00497201" w:rsidRDefault="00604398">
            <w:pPr>
              <w:jc w:val="center"/>
            </w:pPr>
            <w:r>
              <w:rPr>
                <w:rFonts w:eastAsia="Times New Roman"/>
                <w:sz w:val="15"/>
              </w:rPr>
              <w:t>0,265</w:t>
            </w:r>
          </w:p>
        </w:tc>
        <w:tc>
          <w:tcPr>
            <w:tcW w:w="1051" w:type="dxa"/>
            <w:tcMar>
              <w:top w:w="40" w:type="dxa"/>
              <w:left w:w="70" w:type="dxa"/>
              <w:bottom w:w="40" w:type="dxa"/>
              <w:right w:w="70" w:type="dxa"/>
            </w:tcMar>
          </w:tcPr>
          <w:p w:rsidR="00497201" w:rsidRDefault="00604398">
            <w:pPr>
              <w:jc w:val="center"/>
            </w:pPr>
            <w:r>
              <w:rPr>
                <w:rFonts w:eastAsia="Times New Roman"/>
                <w:sz w:val="15"/>
              </w:rPr>
              <w:t>0,874</w:t>
            </w:r>
          </w:p>
        </w:tc>
        <w:tc>
          <w:tcPr>
            <w:tcW w:w="1051" w:type="dxa"/>
            <w:tcMar>
              <w:top w:w="40" w:type="dxa"/>
              <w:left w:w="70" w:type="dxa"/>
              <w:bottom w:w="40" w:type="dxa"/>
              <w:right w:w="70" w:type="dxa"/>
            </w:tcMar>
          </w:tcPr>
          <w:p w:rsidR="00497201" w:rsidRDefault="00604398">
            <w:pPr>
              <w:jc w:val="center"/>
            </w:pPr>
            <w:r>
              <w:rPr>
                <w:rFonts w:eastAsia="Times New Roman"/>
                <w:sz w:val="15"/>
              </w:rPr>
              <w:t>0,406</w:t>
            </w:r>
          </w:p>
        </w:tc>
        <w:tc>
          <w:tcPr>
            <w:tcW w:w="1051" w:type="dxa"/>
            <w:tcMar>
              <w:top w:w="40" w:type="dxa"/>
              <w:left w:w="70" w:type="dxa"/>
              <w:bottom w:w="40" w:type="dxa"/>
              <w:right w:w="70" w:type="dxa"/>
            </w:tcMar>
          </w:tcPr>
          <w:p w:rsidR="00497201" w:rsidRDefault="00604398">
            <w:pPr>
              <w:jc w:val="center"/>
            </w:pPr>
            <w:r>
              <w:rPr>
                <w:rFonts w:eastAsia="Times New Roman"/>
                <w:sz w:val="15"/>
              </w:rPr>
              <w:t>0,211</w:t>
            </w:r>
          </w:p>
        </w:tc>
      </w:tr>
      <w:tr w:rsidR="00497201">
        <w:trPr>
          <w:jc w:val="center"/>
        </w:trPr>
        <w:tc>
          <w:tcPr>
            <w:tcW w:w="3096" w:type="dxa"/>
            <w:tcMar>
              <w:top w:w="40" w:type="dxa"/>
              <w:left w:w="70" w:type="dxa"/>
              <w:bottom w:w="40" w:type="dxa"/>
              <w:right w:w="70" w:type="dxa"/>
            </w:tcMar>
          </w:tcPr>
          <w:p w:rsidR="00497201" w:rsidRDefault="00604398">
            <w:pPr>
              <w:jc w:val="left"/>
            </w:pPr>
            <w:r>
              <w:rPr>
                <w:rFonts w:eastAsia="Times New Roman"/>
                <w:sz w:val="15"/>
              </w:rPr>
              <w:t>XGBoost</w:t>
            </w:r>
          </w:p>
        </w:tc>
        <w:tc>
          <w:tcPr>
            <w:tcW w:w="1051" w:type="dxa"/>
            <w:tcMar>
              <w:top w:w="40" w:type="dxa"/>
              <w:left w:w="70" w:type="dxa"/>
              <w:bottom w:w="40" w:type="dxa"/>
              <w:right w:w="70" w:type="dxa"/>
            </w:tcMar>
          </w:tcPr>
          <w:p w:rsidR="00497201" w:rsidRDefault="00604398">
            <w:pPr>
              <w:jc w:val="center"/>
            </w:pPr>
            <w:r>
              <w:rPr>
                <w:rFonts w:eastAsia="Times New Roman"/>
                <w:sz w:val="15"/>
              </w:rPr>
              <w:t>0,367</w:t>
            </w:r>
          </w:p>
        </w:tc>
        <w:tc>
          <w:tcPr>
            <w:tcW w:w="1051" w:type="dxa"/>
            <w:tcMar>
              <w:top w:w="40" w:type="dxa"/>
              <w:left w:w="70" w:type="dxa"/>
              <w:bottom w:w="40" w:type="dxa"/>
              <w:right w:w="70" w:type="dxa"/>
            </w:tcMar>
          </w:tcPr>
          <w:p w:rsidR="00497201" w:rsidRDefault="00604398">
            <w:pPr>
              <w:jc w:val="center"/>
            </w:pPr>
            <w:r>
              <w:rPr>
                <w:rFonts w:eastAsia="Times New Roman"/>
                <w:sz w:val="15"/>
              </w:rPr>
              <w:t>0,850</w:t>
            </w:r>
          </w:p>
        </w:tc>
        <w:tc>
          <w:tcPr>
            <w:tcW w:w="1051" w:type="dxa"/>
            <w:tcMar>
              <w:top w:w="40" w:type="dxa"/>
              <w:left w:w="70" w:type="dxa"/>
              <w:bottom w:w="40" w:type="dxa"/>
              <w:right w:w="70" w:type="dxa"/>
            </w:tcMar>
          </w:tcPr>
          <w:p w:rsidR="00497201" w:rsidRDefault="00604398">
            <w:pPr>
              <w:jc w:val="center"/>
            </w:pPr>
            <w:r>
              <w:rPr>
                <w:rFonts w:eastAsia="Times New Roman"/>
                <w:sz w:val="15"/>
              </w:rPr>
              <w:t>0,360</w:t>
            </w:r>
          </w:p>
        </w:tc>
        <w:tc>
          <w:tcPr>
            <w:tcW w:w="1051" w:type="dxa"/>
            <w:tcMar>
              <w:top w:w="40" w:type="dxa"/>
              <w:left w:w="70" w:type="dxa"/>
              <w:bottom w:w="40" w:type="dxa"/>
              <w:right w:w="70" w:type="dxa"/>
            </w:tcMar>
          </w:tcPr>
          <w:p w:rsidR="00497201" w:rsidRDefault="00604398">
            <w:pPr>
              <w:jc w:val="center"/>
            </w:pPr>
            <w:r>
              <w:rPr>
                <w:rFonts w:eastAsia="Times New Roman"/>
                <w:sz w:val="15"/>
              </w:rPr>
              <w:t>0,439</w:t>
            </w:r>
          </w:p>
        </w:tc>
        <w:tc>
          <w:tcPr>
            <w:tcW w:w="1051" w:type="dxa"/>
            <w:tcMar>
              <w:top w:w="40" w:type="dxa"/>
              <w:left w:w="70" w:type="dxa"/>
              <w:bottom w:w="40" w:type="dxa"/>
              <w:right w:w="70" w:type="dxa"/>
            </w:tcMar>
          </w:tcPr>
          <w:p w:rsidR="00497201" w:rsidRDefault="00604398">
            <w:pPr>
              <w:jc w:val="center"/>
            </w:pPr>
            <w:r>
              <w:rPr>
                <w:rFonts w:eastAsia="Times New Roman"/>
                <w:sz w:val="15"/>
              </w:rPr>
              <w:t>0,396</w:t>
            </w:r>
          </w:p>
        </w:tc>
        <w:tc>
          <w:tcPr>
            <w:tcW w:w="1051" w:type="dxa"/>
            <w:tcMar>
              <w:top w:w="40" w:type="dxa"/>
              <w:left w:w="70" w:type="dxa"/>
              <w:bottom w:w="40" w:type="dxa"/>
              <w:right w:w="70" w:type="dxa"/>
            </w:tcMar>
          </w:tcPr>
          <w:p w:rsidR="00497201" w:rsidRDefault="00604398">
            <w:pPr>
              <w:jc w:val="center"/>
            </w:pPr>
            <w:r>
              <w:rPr>
                <w:rFonts w:eastAsia="Times New Roman"/>
                <w:sz w:val="15"/>
              </w:rPr>
              <w:t>0,068</w:t>
            </w:r>
          </w:p>
        </w:tc>
      </w:tr>
      <w:tr w:rsidR="00497201">
        <w:trPr>
          <w:jc w:val="center"/>
        </w:trPr>
        <w:tc>
          <w:tcPr>
            <w:tcW w:w="3096" w:type="dxa"/>
            <w:tcMar>
              <w:top w:w="40" w:type="dxa"/>
              <w:left w:w="70" w:type="dxa"/>
              <w:bottom w:w="40" w:type="dxa"/>
              <w:right w:w="70" w:type="dxa"/>
            </w:tcMar>
          </w:tcPr>
          <w:p w:rsidR="00497201" w:rsidRDefault="00604398">
            <w:pPr>
              <w:jc w:val="left"/>
            </w:pPr>
            <w:r>
              <w:rPr>
                <w:rFonts w:eastAsia="Times New Roman"/>
                <w:sz w:val="15"/>
              </w:rPr>
              <w:t>LightGBM</w:t>
            </w:r>
          </w:p>
        </w:tc>
        <w:tc>
          <w:tcPr>
            <w:tcW w:w="1051" w:type="dxa"/>
            <w:tcMar>
              <w:top w:w="40" w:type="dxa"/>
              <w:left w:w="70" w:type="dxa"/>
              <w:bottom w:w="40" w:type="dxa"/>
              <w:right w:w="70" w:type="dxa"/>
            </w:tcMar>
          </w:tcPr>
          <w:p w:rsidR="00497201" w:rsidRDefault="00604398">
            <w:pPr>
              <w:jc w:val="center"/>
            </w:pPr>
            <w:r>
              <w:rPr>
                <w:rFonts w:eastAsia="Times New Roman"/>
                <w:sz w:val="15"/>
              </w:rPr>
              <w:t>0,408</w:t>
            </w:r>
          </w:p>
        </w:tc>
        <w:tc>
          <w:tcPr>
            <w:tcW w:w="1051" w:type="dxa"/>
            <w:tcMar>
              <w:top w:w="40" w:type="dxa"/>
              <w:left w:w="70" w:type="dxa"/>
              <w:bottom w:w="40" w:type="dxa"/>
              <w:right w:w="70" w:type="dxa"/>
            </w:tcMar>
          </w:tcPr>
          <w:p w:rsidR="00497201" w:rsidRDefault="00604398">
            <w:pPr>
              <w:jc w:val="center"/>
            </w:pPr>
            <w:r>
              <w:rPr>
                <w:rFonts w:eastAsia="Times New Roman"/>
                <w:sz w:val="15"/>
              </w:rPr>
              <w:t>0,876</w:t>
            </w:r>
          </w:p>
        </w:tc>
        <w:tc>
          <w:tcPr>
            <w:tcW w:w="1051" w:type="dxa"/>
            <w:tcMar>
              <w:top w:w="40" w:type="dxa"/>
              <w:left w:w="70" w:type="dxa"/>
              <w:bottom w:w="40" w:type="dxa"/>
              <w:right w:w="70" w:type="dxa"/>
            </w:tcMar>
          </w:tcPr>
          <w:p w:rsidR="00497201" w:rsidRDefault="00604398">
            <w:pPr>
              <w:jc w:val="center"/>
            </w:pPr>
            <w:r>
              <w:rPr>
                <w:rFonts w:eastAsia="Times New Roman"/>
                <w:sz w:val="15"/>
              </w:rPr>
              <w:t>0,338</w:t>
            </w:r>
          </w:p>
        </w:tc>
        <w:tc>
          <w:tcPr>
            <w:tcW w:w="1051" w:type="dxa"/>
            <w:tcMar>
              <w:top w:w="40" w:type="dxa"/>
              <w:left w:w="70" w:type="dxa"/>
              <w:bottom w:w="40" w:type="dxa"/>
              <w:right w:w="70" w:type="dxa"/>
            </w:tcMar>
          </w:tcPr>
          <w:p w:rsidR="00497201" w:rsidRDefault="00604398">
            <w:pPr>
              <w:jc w:val="center"/>
            </w:pPr>
            <w:r>
              <w:rPr>
                <w:rFonts w:eastAsia="Times New Roman"/>
                <w:sz w:val="15"/>
              </w:rPr>
              <w:t>0,623</w:t>
            </w:r>
          </w:p>
        </w:tc>
        <w:tc>
          <w:tcPr>
            <w:tcW w:w="1051" w:type="dxa"/>
            <w:tcMar>
              <w:top w:w="40" w:type="dxa"/>
              <w:left w:w="70" w:type="dxa"/>
              <w:bottom w:w="40" w:type="dxa"/>
              <w:right w:w="70" w:type="dxa"/>
            </w:tcMar>
          </w:tcPr>
          <w:p w:rsidR="00497201" w:rsidRDefault="00604398">
            <w:pPr>
              <w:jc w:val="center"/>
            </w:pPr>
            <w:r>
              <w:rPr>
                <w:rFonts w:eastAsia="Times New Roman"/>
                <w:sz w:val="15"/>
              </w:rPr>
              <w:t>0,438</w:t>
            </w:r>
          </w:p>
        </w:tc>
        <w:tc>
          <w:tcPr>
            <w:tcW w:w="1051" w:type="dxa"/>
            <w:tcMar>
              <w:top w:w="40" w:type="dxa"/>
              <w:left w:w="70" w:type="dxa"/>
              <w:bottom w:w="40" w:type="dxa"/>
              <w:right w:w="70" w:type="dxa"/>
            </w:tcMar>
          </w:tcPr>
          <w:p w:rsidR="00497201" w:rsidRDefault="00604398">
            <w:pPr>
              <w:jc w:val="center"/>
            </w:pPr>
            <w:r>
              <w:rPr>
                <w:rFonts w:eastAsia="Times New Roman"/>
                <w:sz w:val="15"/>
              </w:rPr>
              <w:t>0,106</w:t>
            </w:r>
          </w:p>
        </w:tc>
      </w:tr>
    </w:tbl>
    <w:p w:rsidR="00497201" w:rsidRDefault="00604398">
      <w:pPr>
        <w:spacing w:after="40"/>
        <w:jc w:val="left"/>
      </w:pPr>
      <w:r>
        <w:rPr>
          <w:rFonts w:eastAsia="Times New Roman"/>
          <w:i/>
          <w:sz w:val="16"/>
        </w:rPr>
        <w:t>Not: Mesafe karşılaştırıcısının PR-AUC ve ROC-AUC değerleri</w:t>
      </w:r>
      <w:r>
        <w:rPr>
          <w:rFonts w:eastAsia="Times New Roman"/>
          <w:i/>
          <w:sz w:val="16"/>
        </w:rPr>
        <w:t xml:space="preserve"> sürekli -minimum-mesafe sıralamasını; kesinlik, duyarlılık, F1 ve FAR değerleri sabit 25 km alarmını kullanmaktadır.</w:t>
      </w:r>
    </w:p>
    <w:p w:rsidR="00497201" w:rsidRDefault="00604398">
      <w:pPr>
        <w:ind w:firstLine="288"/>
      </w:pPr>
      <w:r>
        <w:rPr>
          <w:rFonts w:eastAsia="Times New Roman"/>
        </w:rPr>
        <w:t>Çalışma noktalarındaki ödünleşimler belirgindir. SVM 223 pozitifin 195'ini yakalamış fakat 542 yanlış pozitif üretmiştir (FAR 0,211). Loji</w:t>
      </w:r>
      <w:r>
        <w:rPr>
          <w:rFonts w:eastAsia="Times New Roman"/>
        </w:rPr>
        <w:t>stik Regresyon 187 pozitifi yakalamış ancak 912 yanlış pozitif üretmiştir (FAR 0,355). Rastgele Orman sabit alarmın FAR değerine yaklaşık olarak eşleşmiş (0,010'a karşı 0,011) fakat yalnızca 44 pozitifi yakalayarak 0,197 duyarlılıkta kalmıştır. Dolayısıyla</w:t>
      </w:r>
      <w:r>
        <w:rPr>
          <w:rFonts w:eastAsia="Times New Roman"/>
        </w:rPr>
        <w:t xml:space="preserve"> daha düşük alarm yükü üstün bir kesinlik-duyarlılık dengesi yerine kaçırılan pozitiflerden kaynaklanmıştır. Sabit alarm TP=86, FP=28, FN=137 ve TN=2.544 üretmiştir.</w:t>
      </w:r>
    </w:p>
    <w:p w:rsidR="00497201" w:rsidRDefault="00604398">
      <w:pPr>
        <w:keepNext/>
        <w:jc w:val="center"/>
      </w:pPr>
      <w:r>
        <w:rPr>
          <w:noProof/>
          <w:lang w:val="tr-TR" w:eastAsia="tr-TR"/>
        </w:rPr>
        <w:drawing>
          <wp:inline distT="0" distB="0" distL="0" distR="0">
            <wp:extent cx="5715000" cy="3265714"/>
            <wp:effectExtent l="0" t="0" r="0" b="0"/>
            <wp:docPr id="3" name="Picture 3" descr="PR-AUC, F1 and recall for the distance comparator and six learned models." title="Held-out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_out_model_comparison.png"/>
                    <pic:cNvPicPr/>
                  </pic:nvPicPr>
                  <pic:blipFill>
                    <a:blip r:embed="rId11"/>
                    <a:stretch>
                      <a:fillRect/>
                    </a:stretch>
                  </pic:blipFill>
                  <pic:spPr>
                    <a:xfrm>
                      <a:off x="0" y="0"/>
                      <a:ext cx="5715000" cy="3265714"/>
                    </a:xfrm>
                    <a:prstGeom prst="rect">
                      <a:avLst/>
                    </a:prstGeom>
                  </pic:spPr>
                </pic:pic>
              </a:graphicData>
            </a:graphic>
          </wp:inline>
        </w:drawing>
      </w:r>
    </w:p>
    <w:p w:rsidR="00497201" w:rsidRDefault="00604398">
      <w:pPr>
        <w:spacing w:after="60"/>
        <w:jc w:val="center"/>
      </w:pPr>
      <w:r>
        <w:rPr>
          <w:rFonts w:eastAsia="Times New Roman"/>
          <w:sz w:val="18"/>
        </w:rPr>
        <w:t>Şekil 3. Keşifsel ayrılmış test karşılaştırması. Mesafe satırı PR-AUC için sürekli mesaf</w:t>
      </w:r>
      <w:r>
        <w:rPr>
          <w:rFonts w:eastAsia="Times New Roman"/>
          <w:sz w:val="18"/>
        </w:rPr>
        <w:t>eyi, F1 ve duyarlılık için sabit 25 km alarmını kullanmaktadır.</w:t>
      </w:r>
    </w:p>
    <w:p w:rsidR="00497201" w:rsidRDefault="00497201">
      <w:pPr>
        <w:sectPr w:rsidR="00497201">
          <w:footnotePr>
            <w:pos w:val="beneathText"/>
            <w:numFmt w:val="chicago"/>
          </w:footnotePr>
          <w:endnotePr>
            <w:numFmt w:val="decimal"/>
          </w:endnotePr>
          <w:type w:val="continuous"/>
          <w:pgSz w:w="12240" w:h="15840" w:code="1"/>
          <w:pgMar w:top="1411" w:right="1411" w:bottom="1411" w:left="1411" w:header="389" w:footer="360" w:gutter="0"/>
          <w:cols w:space="360"/>
          <w:docGrid w:linePitch="360"/>
        </w:sectPr>
      </w:pPr>
    </w:p>
    <w:p w:rsidR="00497201" w:rsidRDefault="00604398">
      <w:pPr>
        <w:pStyle w:val="Balk11"/>
        <w:keepNext/>
        <w:spacing w:before="100" w:after="20"/>
        <w:jc w:val="left"/>
        <w:outlineLvl w:val="0"/>
      </w:pPr>
      <w:r>
        <w:rPr>
          <w:rFonts w:eastAsia="Times New Roman"/>
          <w:b/>
        </w:rPr>
        <w:t>4. Tartışma</w:t>
      </w:r>
    </w:p>
    <w:p w:rsidR="00497201" w:rsidRDefault="00604398">
      <w:pPr>
        <w:pStyle w:val="Balk21"/>
        <w:keepNext/>
        <w:spacing w:before="60" w:after="20"/>
        <w:jc w:val="left"/>
        <w:outlineLvl w:val="1"/>
      </w:pPr>
      <w:r>
        <w:rPr>
          <w:rFonts w:eastAsia="Times New Roman"/>
          <w:i/>
        </w:rPr>
        <w:t>4.1 Negatif sonucun ortaya koyduğu şey</w:t>
      </w:r>
    </w:p>
    <w:p w:rsidR="00497201" w:rsidRDefault="00604398">
      <w:pPr>
        <w:ind w:firstLine="288"/>
      </w:pPr>
      <w:r>
        <w:rPr>
          <w:rFonts w:eastAsia="Times New Roman"/>
        </w:rPr>
        <w:t xml:space="preserve">Keşifsel sonuçlar, öğrenilmiş modeller için başlangıçta beklenen yanlış alarm üstünlüğünü göstermemiştir. Önceden </w:t>
      </w:r>
      <w:r>
        <w:rPr>
          <w:rFonts w:eastAsia="Times New Roman"/>
        </w:rPr>
        <w:t>belirlenmiş doğrulayıcı uyarlanabilirlik analizi, kanıt kapıları başarısız olduktan sonra yürütülememiştir. Bu nedenle uyarlanabilirlik hipotezi çürütülmüş değil, doğrulanmamış durumdadır. Bu ifade, makine öğrenmesinin evrensel olarak daha kötü olduğunu id</w:t>
      </w:r>
      <w:r>
        <w:rPr>
          <w:rFonts w:eastAsia="Times New Roman"/>
        </w:rPr>
        <w:t>dia etmekten bilinçli biçimde daha dardır.</w:t>
      </w:r>
    </w:p>
    <w:p w:rsidR="00497201" w:rsidRDefault="00604398">
      <w:pPr>
        <w:ind w:firstLine="288"/>
      </w:pPr>
      <w:r>
        <w:rPr>
          <w:rFonts w:eastAsia="Times New Roman"/>
        </w:rPr>
        <w:t>Sonuç aynı zamanda görevdeki önemli bir asimetriyi yansıtmaktadır. Vekil etiket gelecekteki yayılıma dayalı minimum mesafeyi doğrudan içermektedir. Mesafe karşılaştırıcısı satırları aynı hedef bileşeniyle sıralark</w:t>
      </w:r>
      <w:r>
        <w:rPr>
          <w:rFonts w:eastAsia="Times New Roman"/>
        </w:rPr>
        <w:t>en öğrenilmiş modellere gelecekteki TCA'dan türetilmiş bilgi kasıtlı olarak verilmemiş ve modeller gelecekteki şiddeti altı anlık durum değişkeninden çıkarmak zorunda bırakılmıştır. Bu nedenle karşılaştırıcı bağımsız çarpışma gerçeği değil, hedef bileşeniy</w:t>
      </w:r>
      <w:r>
        <w:rPr>
          <w:rFonts w:eastAsia="Times New Roman"/>
        </w:rPr>
        <w:t>le güçlü biçimde hizalı bir kontroldür. Üstünlüğü, 25 km alarmının operasyonel olarak en iyi olduğunu kanıtlamaz.</w:t>
      </w:r>
    </w:p>
    <w:p w:rsidR="00497201" w:rsidRDefault="00604398">
      <w:pPr>
        <w:ind w:firstLine="288"/>
      </w:pPr>
      <w:r>
        <w:rPr>
          <w:rFonts w:eastAsia="Times New Roman"/>
        </w:rPr>
        <w:t>Bu asimetri bilimsel olarak yararlıdır; çünkü hedefin nasıl kurulduğunun ve hangi özelliklerin mevcut olduğunun görünen model performansını na</w:t>
      </w:r>
      <w:r>
        <w:rPr>
          <w:rFonts w:eastAsia="Times New Roman"/>
        </w:rPr>
        <w:t xml:space="preserve">sıl şekillendirdiğini gösterir. Gelecekteki minimum mesafe veya TCA'daki göreli hızın öğrenilmiş özelliklere eklenmesi sınıflandırmayı kolaylaştırırdı; ancak bu, belirlenimci etiketi yeniden kurarak hedef sızıntısı yaratırdı. Daha zayıf bir rastgele satır </w:t>
      </w:r>
      <w:r>
        <w:rPr>
          <w:rFonts w:eastAsia="Times New Roman"/>
        </w:rPr>
        <w:t>değerlendirmesi de çiftleri ve komşu anlık görüntüleri bölümler arasında tekrarlayarak sonuçları yapay biçimde yükseltebilirdi. Bu makaledeki daha düşük puanlar bu nedenle daha gerçekçi bir genelleme sorusunun sonucudur.</w:t>
      </w:r>
    </w:p>
    <w:p w:rsidR="00497201" w:rsidRDefault="00604398">
      <w:pPr>
        <w:pStyle w:val="Balk21"/>
        <w:keepNext/>
        <w:spacing w:before="60" w:after="20"/>
        <w:jc w:val="left"/>
        <w:outlineLvl w:val="1"/>
      </w:pPr>
      <w:r>
        <w:rPr>
          <w:rFonts w:eastAsia="Times New Roman"/>
          <w:i/>
        </w:rPr>
        <w:t>4.2 Sınırlılıklar ve gelecek çalışm</w:t>
      </w:r>
      <w:r>
        <w:rPr>
          <w:rFonts w:eastAsia="Times New Roman"/>
          <w:i/>
        </w:rPr>
        <w:t>alar</w:t>
      </w:r>
    </w:p>
    <w:p w:rsidR="00497201" w:rsidRDefault="00604398">
      <w:pPr>
        <w:ind w:firstLine="288"/>
      </w:pPr>
      <w:r>
        <w:rPr>
          <w:rFonts w:eastAsia="Times New Roman"/>
        </w:rPr>
        <w:t>Birincisi, planlanan 23 anlık görüntü dilimi eksik kalmış; bu durum yetersiz kapsama ve 16,844 saatlik en büyük boşluğa yol açmıştır. İkincisi, TLE/SGP4 belirsizliği kovaryans yayılımıyla temsil edilmemiştir. Üçüncüsü, belirlenimci geometri/hız hedefi</w:t>
      </w:r>
      <w:r>
        <w:rPr>
          <w:rFonts w:eastAsia="Times New Roman"/>
        </w:rPr>
        <w:t xml:space="preserve"> gözlenen bir çarpışma sonucu veya çarpışma olasılığı değildir. Dördüncüsü, ortak nesne içeren ve yakın zamanlı gözlemler çift/zaman ayrımından sonra bile ilişkili kalmaktadır. Beşincisi, keşifsel karşılaştırma doğrulayıcı bootstrap aralıklarını veya önced</w:t>
      </w:r>
      <w:r>
        <w:rPr>
          <w:rFonts w:eastAsia="Times New Roman"/>
        </w:rPr>
        <w:t>en tanımlanmış gelecek blok uyarlanabilirlik testini sağlamamaktadır.</w:t>
      </w:r>
    </w:p>
    <w:p w:rsidR="00497201" w:rsidRDefault="00604398">
      <w:pPr>
        <w:ind w:firstLine="288"/>
      </w:pPr>
      <w:r>
        <w:rPr>
          <w:rFonts w:eastAsia="Times New Roman"/>
        </w:rPr>
        <w:t>Gelecek çalışmalar dondurulmuş çift/zaman bölme mantığını korurken daha uzun ve bağımsız toplanmış arşivler ile operasyonel karar vermeye daha yakın hedefler kullanmalıdır. Doğrulanmış y</w:t>
      </w:r>
      <w:r>
        <w:rPr>
          <w:rFonts w:eastAsia="Times New Roman"/>
        </w:rPr>
        <w:t xml:space="preserve">akınlaşma veri mesajları, kovaryans, katı cisim yarıçapları, manevra bağlamı ve sonuçlanmış olaylar daha anlamlı bir değerlendirmeyi mümkün kılacaktır [3]. Model kalibrasyonu ve eşik seçimi yalnızca eğitim/doğrulama verileriyle sınırlı tutulmalı; sentetik </w:t>
      </w:r>
      <w:r>
        <w:rPr>
          <w:rFonts w:eastAsia="Times New Roman"/>
        </w:rPr>
        <w:t>çoğaltma ise gerçek test bölümü dondurulduktan sonra yalnızca eğitim verisine uygulanmalıdır.</w:t>
      </w:r>
    </w:p>
    <w:p w:rsidR="00497201" w:rsidRDefault="00604398">
      <w:pPr>
        <w:pStyle w:val="Balk11"/>
        <w:keepNext/>
        <w:spacing w:before="100" w:after="20"/>
        <w:jc w:val="left"/>
        <w:outlineLvl w:val="0"/>
      </w:pPr>
      <w:r>
        <w:rPr>
          <w:rFonts w:eastAsia="Times New Roman"/>
          <w:b/>
        </w:rPr>
        <w:t>5. Yeniden üretilebilirlik ve açık kaynak çıktıları</w:t>
      </w:r>
    </w:p>
    <w:p w:rsidR="00497201" w:rsidRDefault="00604398">
      <w:pPr>
        <w:ind w:firstLine="288"/>
      </w:pPr>
      <w:r>
        <w:rPr>
          <w:rFonts w:eastAsia="Times New Roman"/>
        </w:rPr>
        <w:t>Uygulama, dondurulmuş deney yapılandırmaları, edinim bildirimleri, düzeltilmiş TCA yeniden simülasyon akışı, b</w:t>
      </w:r>
      <w:r>
        <w:rPr>
          <w:rFonts w:eastAsia="Times New Roman"/>
        </w:rPr>
        <w:t>ölme mantığı, model karşılaştırması ve şekil üretim kodu MIT Lisansı altında https://github.com/Mustafaisa027/space-debris-ml-simulation adresinde yayımlanmıştır. Keşifsel bildirim claim_eligible=false işaretini taşımakta ve çıktıları değerlendirilen geçmi</w:t>
      </w:r>
      <w:r>
        <w:rPr>
          <w:rFonts w:eastAsia="Times New Roman"/>
        </w:rPr>
        <w:t>ş ile kaynak sürümüne bağlamaktadır. Depodaki otomatik testler yayılımı, hedef ve özellik sınırlarını, arşiv bütünlüğünü, bölme sızıntısını ve kanıt kapılarını kapsamaktadır.</w:t>
      </w:r>
    </w:p>
    <w:p w:rsidR="00497201" w:rsidRDefault="00604398">
      <w:pPr>
        <w:pStyle w:val="Balk11"/>
        <w:keepNext/>
        <w:spacing w:before="100" w:after="20"/>
        <w:jc w:val="left"/>
        <w:outlineLvl w:val="0"/>
      </w:pPr>
      <w:r>
        <w:rPr>
          <w:rFonts w:eastAsia="Times New Roman"/>
          <w:b/>
        </w:rPr>
        <w:t>6. Sonuçlar</w:t>
      </w:r>
    </w:p>
    <w:p w:rsidR="00497201" w:rsidRDefault="00604398">
      <w:pPr>
        <w:ind w:firstLine="288"/>
      </w:pPr>
      <w:r>
        <w:rPr>
          <w:rFonts w:eastAsia="Times New Roman"/>
        </w:rPr>
        <w:t>Bu çalışma, kamuya açık TLE/SGP4 yakınlaşma taramasında sınıflandırıc</w:t>
      </w:r>
      <w:r>
        <w:rPr>
          <w:rFonts w:eastAsia="Times New Roman"/>
        </w:rPr>
        <w:t>ıları karşılaştırmak için denetlenebilir ve veri sızıntısına dayanıklı bir çerçeve sunmaktadır. Daha sonraki zamanlardaki görülmemiş katalog çiftlerinde SVM öğrenilmiş modeller arasında duyarlılığı ve PR-AUC'yi, LightGBM ise F1'i en yüksek düzeye çıkarmışt</w:t>
      </w:r>
      <w:r>
        <w:rPr>
          <w:rFonts w:eastAsia="Times New Roman"/>
        </w:rPr>
        <w:t>ır. Hiçbiri hedefle hizalı mesafe karşılaştırıcısını genel olarak geçememiştir. Makine öğrenmesinin yanlış alarm avantajı yönündeki başlangıç hipotezi keşifsel kanıtla desteklenmemiştir; uyarlanabilirlik hipotezi ise doğrulanmamış, fakat çürütülmemiştir. T</w:t>
      </w:r>
      <w:r>
        <w:rPr>
          <w:rFonts w:eastAsia="Times New Roman"/>
        </w:rPr>
        <w:t>emel sonuç şeffaf bir negatif bulgu ve yeniden üretilebilir değerlendirme tasarımıdır.</w:t>
      </w:r>
    </w:p>
    <w:p w:rsidR="00497201" w:rsidRDefault="00604398">
      <w:pPr>
        <w:pStyle w:val="Balk11"/>
        <w:keepNext/>
        <w:spacing w:before="100" w:after="20"/>
        <w:jc w:val="left"/>
        <w:outlineLvl w:val="0"/>
      </w:pPr>
      <w:r>
        <w:rPr>
          <w:rFonts w:eastAsia="Times New Roman"/>
          <w:b/>
        </w:rPr>
        <w:t>Üretken yapay zekâ ve yapay zekâ destekli teknolojilerin kullanımına ilişkin beyan</w:t>
      </w:r>
    </w:p>
    <w:p w:rsidR="00497201" w:rsidRDefault="00604398">
      <w:r>
        <w:rPr>
          <w:rFonts w:eastAsia="Times New Roman"/>
        </w:rPr>
        <w:t>OpenAI Codex; dil düzenlemesi, belge organizasyonu ve biçimlendirmeye yardımcı olmak i</w:t>
      </w:r>
      <w:r>
        <w:rPr>
          <w:rFonts w:eastAsia="Times New Roman"/>
        </w:rPr>
        <w:t>çin kullanılmıştır. Tüm bilimsel yöntemlerin, sayısal sonuçların, yorumların, kaynakların ve son metnin incelenmesi ile doğrulanmasından yazar sorumludur.</w:t>
      </w:r>
    </w:p>
    <w:p w:rsidR="00497201" w:rsidRDefault="00604398">
      <w:pPr>
        <w:pStyle w:val="Balk11"/>
        <w:keepNext/>
        <w:spacing w:before="100" w:after="20"/>
        <w:jc w:val="left"/>
        <w:outlineLvl w:val="0"/>
      </w:pPr>
      <w:r>
        <w:rPr>
          <w:rFonts w:eastAsia="Times New Roman"/>
          <w:b/>
        </w:rPr>
        <w:t>Kaynaklar</w:t>
      </w:r>
    </w:p>
    <w:p w:rsidR="00497201" w:rsidRDefault="00604398">
      <w:pPr>
        <w:spacing w:after="20"/>
        <w:ind w:left="259" w:hanging="259"/>
      </w:pPr>
      <w:r>
        <w:rPr>
          <w:rFonts w:eastAsia="Times New Roman"/>
          <w:sz w:val="18"/>
        </w:rPr>
        <w:t>[1] D.A. Vallado, P. Crawford, R. Hujsak, T.S. Kelso, Revisiting Spacetrack Report #3, AIAA</w:t>
      </w:r>
      <w:r>
        <w:rPr>
          <w:rFonts w:eastAsia="Times New Roman"/>
          <w:sz w:val="18"/>
        </w:rPr>
        <w:t>/AAS Astrodynamics Specialist Conference, AIAA 2006-6753, 2006. https://doi.org/10.2514/6.2006-6753.</w:t>
      </w:r>
    </w:p>
    <w:p w:rsidR="00497201" w:rsidRDefault="00604398">
      <w:pPr>
        <w:spacing w:after="20"/>
        <w:ind w:left="259" w:hanging="259"/>
      </w:pPr>
      <w:r>
        <w:rPr>
          <w:rFonts w:eastAsia="Times New Roman"/>
          <w:sz w:val="18"/>
        </w:rPr>
        <w:t>[2] S. Alfano, Determining satellite close approaches, Part II, Journal of the Astronautical Sciences 42(2) (1994) 143-152.</w:t>
      </w:r>
    </w:p>
    <w:p w:rsidR="00497201" w:rsidRDefault="00604398">
      <w:pPr>
        <w:spacing w:after="20"/>
        <w:ind w:left="259" w:hanging="259"/>
      </w:pPr>
      <w:r>
        <w:rPr>
          <w:rFonts w:eastAsia="Times New Roman"/>
          <w:sz w:val="18"/>
        </w:rPr>
        <w:t>[3] 18th Space Control Squadron</w:t>
      </w:r>
      <w:r>
        <w:rPr>
          <w:rFonts w:eastAsia="Times New Roman"/>
          <w:sz w:val="18"/>
        </w:rPr>
        <w:t>, Spaceflight Safety Handbook for Satellite Operators, Version 1.5, 2020.</w:t>
      </w:r>
    </w:p>
    <w:p w:rsidR="00497201" w:rsidRDefault="00604398">
      <w:pPr>
        <w:spacing w:after="20"/>
        <w:ind w:left="259" w:hanging="259"/>
      </w:pPr>
      <w:r>
        <w:rPr>
          <w:rFonts w:eastAsia="Times New Roman"/>
          <w:sz w:val="18"/>
        </w:rPr>
        <w:t xml:space="preserve">[4] J. Davis, M. Goadrich, The relationship between Precision-Recall and ROC curves, Proceedings of the 23rd International Conference on Machine Learning (2006) 233-240. </w:t>
      </w:r>
      <w:r>
        <w:rPr>
          <w:rFonts w:eastAsia="Times New Roman"/>
          <w:sz w:val="18"/>
        </w:rPr>
        <w:t>https://doi.org/10.1145/1143844.1143874.</w:t>
      </w:r>
    </w:p>
    <w:p w:rsidR="00497201" w:rsidRDefault="00604398">
      <w:pPr>
        <w:spacing w:after="20"/>
        <w:ind w:left="259" w:hanging="259"/>
      </w:pPr>
      <w:r>
        <w:rPr>
          <w:rFonts w:eastAsia="Times New Roman"/>
          <w:sz w:val="18"/>
        </w:rPr>
        <w:t>[5] L. Breiman, Random forests, Machine Learning 45 (2001) 5-32. https://doi.org/10.1023/A:1010933404324.</w:t>
      </w:r>
    </w:p>
    <w:p w:rsidR="00497201" w:rsidRDefault="00604398">
      <w:pPr>
        <w:spacing w:after="20"/>
        <w:ind w:left="259" w:hanging="259"/>
      </w:pPr>
      <w:r>
        <w:rPr>
          <w:rFonts w:eastAsia="Times New Roman"/>
          <w:sz w:val="18"/>
        </w:rPr>
        <w:t>[6] C. Cortes, V. Vapnik, Support-vector networks, Machine Learning 20 (1995) 273-297. https://doi.org/10.100</w:t>
      </w:r>
      <w:r>
        <w:rPr>
          <w:rFonts w:eastAsia="Times New Roman"/>
          <w:sz w:val="18"/>
        </w:rPr>
        <w:t>7/BF00994018.</w:t>
      </w:r>
    </w:p>
    <w:p w:rsidR="00497201" w:rsidRDefault="00604398">
      <w:pPr>
        <w:spacing w:after="20"/>
        <w:ind w:left="259" w:hanging="259"/>
      </w:pPr>
      <w:r>
        <w:rPr>
          <w:rFonts w:eastAsia="Times New Roman"/>
          <w:sz w:val="18"/>
        </w:rPr>
        <w:t>[7] T. Chen, C. Guestrin, XGBoost: A scalable tree boosting system, Proceedings of the 22nd ACM SIGKDD International Conference on Knowledge Discovery and Data Mining (2016) 785-794. https://doi.org/10.1145/2939672.2939785.</w:t>
      </w:r>
    </w:p>
    <w:p w:rsidR="00497201" w:rsidRDefault="00604398">
      <w:pPr>
        <w:spacing w:after="20"/>
        <w:ind w:left="259" w:hanging="259"/>
      </w:pPr>
      <w:r>
        <w:rPr>
          <w:rFonts w:eastAsia="Times New Roman"/>
          <w:sz w:val="18"/>
        </w:rPr>
        <w:t>[8] G. Ke, Q. Meng</w:t>
      </w:r>
      <w:r>
        <w:rPr>
          <w:rFonts w:eastAsia="Times New Roman"/>
          <w:sz w:val="18"/>
        </w:rPr>
        <w:t>, T. Finley, T. Wang, W. Chen, W. Ma, Q. Ye, T.-Y. Liu, LightGBM: A highly efficient gradient boosting decision tree, Advances in Neural Information Processing Systems 30 (2017) 3146-3154.</w:t>
      </w:r>
    </w:p>
    <w:p w:rsidR="00497201" w:rsidRDefault="00604398">
      <w:pPr>
        <w:spacing w:after="20"/>
        <w:ind w:left="259" w:hanging="259"/>
      </w:pPr>
      <w:r>
        <w:rPr>
          <w:rFonts w:eastAsia="Times New Roman"/>
          <w:sz w:val="18"/>
        </w:rPr>
        <w:t>[9] European Space Agency, ESA Space Environment Report 2025, Issue</w:t>
      </w:r>
      <w:r>
        <w:rPr>
          <w:rFonts w:eastAsia="Times New Roman"/>
          <w:sz w:val="18"/>
        </w:rPr>
        <w:t xml:space="preserve"> 9, 2025. https://www.esa.int/Space_Safety/Space_Debris/ESA_Space_Environment_Report_2025.</w:t>
      </w:r>
    </w:p>
    <w:p w:rsidR="00497201" w:rsidRDefault="00604398">
      <w:pPr>
        <w:spacing w:after="20"/>
        <w:ind w:left="259" w:hanging="259"/>
      </w:pPr>
      <w:r>
        <w:rPr>
          <w:rFonts w:eastAsia="Times New Roman"/>
          <w:sz w:val="18"/>
        </w:rPr>
        <w:t>[10] CelesTrak, Current GP Element Sets and GP Data Formats, accessed 28 August 2026. https://celestrak.org/NORAD/documentation/gp-data-formats.php.</w:t>
      </w:r>
    </w:p>
    <w:p w:rsidR="00497201" w:rsidRDefault="00604398">
      <w:pPr>
        <w:spacing w:after="20"/>
        <w:ind w:left="259" w:hanging="259"/>
      </w:pPr>
      <w:r>
        <w:rPr>
          <w:rFonts w:eastAsia="Times New Roman"/>
          <w:sz w:val="18"/>
        </w:rPr>
        <w:t>[11] Space-Track</w:t>
      </w:r>
      <w:r>
        <w:rPr>
          <w:rFonts w:eastAsia="Times New Roman"/>
          <w:sz w:val="18"/>
        </w:rPr>
        <w:t>.org, General Perturbations data service and documentation, accessed 28 August 2026. https://www.space-track.org.</w:t>
      </w:r>
    </w:p>
    <w:p w:rsidR="00497201" w:rsidRDefault="00604398">
      <w:pPr>
        <w:spacing w:after="20"/>
        <w:ind w:left="259" w:hanging="259"/>
      </w:pPr>
      <w:r>
        <w:rPr>
          <w:rFonts w:eastAsia="Times New Roman"/>
          <w:sz w:val="18"/>
        </w:rPr>
        <w:t>[12] F. Pedregosa et al., Scikit-learn: Machine Learning in Python, Journal of Machine Learning Research 12 (2011) 2825-2830.</w:t>
      </w:r>
    </w:p>
    <w:p w:rsidR="00497201" w:rsidRDefault="00604398">
      <w:pPr>
        <w:spacing w:after="20"/>
        <w:ind w:left="259" w:hanging="259"/>
      </w:pPr>
      <w:r>
        <w:rPr>
          <w:rFonts w:eastAsia="Times New Roman"/>
          <w:sz w:val="18"/>
        </w:rPr>
        <w:t>[13] F.R. Hoots,</w:t>
      </w:r>
      <w:r>
        <w:rPr>
          <w:rFonts w:eastAsia="Times New Roman"/>
          <w:sz w:val="18"/>
        </w:rPr>
        <w:t xml:space="preserve"> L.L. Crawford, R.L. Roehrich, An analytic method to determine future close approaches between satellites, Celestial Mechanics 33 (1984) 143-158. https://doi.org/10.1007/BF01234152.</w:t>
      </w:r>
    </w:p>
    <w:sectPr w:rsidR="00497201" w:rsidSect="007B07EA">
      <w:footnotePr>
        <w:pos w:val="beneathText"/>
        <w:numFmt w:val="chicago"/>
      </w:footnotePr>
      <w:endnotePr>
        <w:numFmt w:val="decimal"/>
      </w:endnotePr>
      <w:type w:val="continuous"/>
      <w:pgSz w:w="12240" w:h="15840" w:code="1"/>
      <w:pgMar w:top="1411" w:right="1411" w:bottom="1411" w:left="1411" w:header="389"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B41" w:rsidRDefault="00CF1B41" w:rsidP="007B07EA">
      <w:r>
        <w:separator/>
      </w:r>
    </w:p>
  </w:endnote>
  <w:endnote w:type="continuationSeparator" w:id="0">
    <w:p w:rsidR="00CF1B41" w:rsidRDefault="00CF1B41" w:rsidP="007B0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201" w:rsidRDefault="00497201">
    <w:pPr>
      <w:pStyle w:val="AltBilgi"/>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09"/>
      <w:gridCol w:w="4709"/>
    </w:tblGrid>
    <w:tr w:rsidR="00497201">
      <w:trPr>
        <w:jc w:val="center"/>
      </w:trPr>
      <w:tc>
        <w:tcPr>
          <w:tcW w:w="4709" w:type="dxa"/>
          <w:tcMar>
            <w:top w:w="0" w:type="dxa"/>
            <w:left w:w="0" w:type="dxa"/>
            <w:bottom w:w="0" w:type="dxa"/>
            <w:right w:w="0" w:type="dxa"/>
          </w:tcMar>
        </w:tcPr>
        <w:p w:rsidR="00497201" w:rsidRDefault="00604398">
          <w:pPr>
            <w:jc w:val="left"/>
          </w:pPr>
          <w:r>
            <w:rPr>
              <w:rFonts w:eastAsia="Times New Roman"/>
              <w:sz w:val="18"/>
            </w:rPr>
            <w:t>IAC-26-A6.IP.6</w:t>
          </w:r>
        </w:p>
      </w:tc>
      <w:tc>
        <w:tcPr>
          <w:tcW w:w="4709" w:type="dxa"/>
          <w:tcMar>
            <w:top w:w="0" w:type="dxa"/>
            <w:left w:w="0" w:type="dxa"/>
            <w:bottom w:w="0" w:type="dxa"/>
            <w:right w:w="0" w:type="dxa"/>
          </w:tcMar>
        </w:tcPr>
        <w:p w:rsidR="00497201" w:rsidRDefault="00604398">
          <w:pPr>
            <w:jc w:val="right"/>
          </w:pPr>
          <w:r>
            <w:rPr>
              <w:rFonts w:eastAsia="Times New Roman"/>
              <w:sz w:val="18"/>
            </w:rPr>
            <w:t xml:space="preserve">Page </w:t>
          </w: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noProof/>
              <w:sz w:val="18"/>
            </w:rPr>
            <w:t>3</w:t>
          </w:r>
          <w:r>
            <w:rPr>
              <w:rFonts w:eastAsia="Times New Roman"/>
              <w:sz w:val="18"/>
            </w:rPr>
            <w:fldChar w:fldCharType="end"/>
          </w:r>
          <w:r>
            <w:rPr>
              <w:rFonts w:eastAsia="Times New Roman"/>
              <w:sz w:val="18"/>
            </w:rPr>
            <w:t xml:space="preserve"> of </w:t>
          </w:r>
          <w:r>
            <w:rPr>
              <w:rFonts w:eastAsia="Times New Roman"/>
              <w:sz w:val="18"/>
            </w:rPr>
            <w:fldChar w:fldCharType="begin"/>
          </w:r>
          <w:r>
            <w:rPr>
              <w:rFonts w:eastAsia="Times New Roman"/>
              <w:sz w:val="18"/>
            </w:rPr>
            <w:instrText xml:space="preserve"> NUMPAGES </w:instrText>
          </w:r>
          <w:r>
            <w:rPr>
              <w:rFonts w:eastAsia="Times New Roman"/>
              <w:sz w:val="18"/>
            </w:rPr>
            <w:fldChar w:fldCharType="separate"/>
          </w:r>
          <w:r>
            <w:rPr>
              <w:rFonts w:eastAsia="Times New Roman"/>
              <w:noProof/>
              <w:sz w:val="18"/>
            </w:rPr>
            <w:t>3</w:t>
          </w:r>
          <w:r>
            <w:rPr>
              <w:rFonts w:eastAsia="Times New Roman"/>
              <w:sz w:val="18"/>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B41" w:rsidRDefault="00CF1B41" w:rsidP="007B07EA">
      <w:r>
        <w:separator/>
      </w:r>
    </w:p>
  </w:footnote>
  <w:footnote w:type="continuationSeparator" w:id="0">
    <w:p w:rsidR="00CF1B41" w:rsidRDefault="00CF1B41" w:rsidP="007B07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201" w:rsidRDefault="00604398">
    <w:pPr>
      <w:pStyle w:val="stBilgi"/>
      <w:jc w:val="center"/>
    </w:pPr>
    <w:r>
      <w:rPr>
        <w:rFonts w:eastAsia="Times New Roman"/>
        <w:sz w:val="16"/>
      </w:rPr>
      <w:t>77th International Astron</w:t>
    </w:r>
    <w:r>
      <w:rPr>
        <w:rFonts w:eastAsia="Times New Roman"/>
        <w:sz w:val="16"/>
      </w:rPr>
      <w:t>autical Congress (IAC 2026), Antalya, Türkiye, 5-9 Oct 2026.</w:t>
    </w:r>
    <w:r>
      <w:rPr>
        <w:rFonts w:eastAsia="Times New Roman"/>
        <w:sz w:val="16"/>
      </w:rPr>
      <w:br/>
      <w:t>Copyright ©2026 by Mustafa İsa Oruçtutan. Published by the IAF, with permission and released to the IAF to publish in all forms.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5007A"/>
    <w:multiLevelType w:val="hybridMultilevel"/>
    <w:tmpl w:val="A4BE8892"/>
    <w:lvl w:ilvl="0" w:tplc="ECC00050">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F13902"/>
    <w:multiLevelType w:val="hybridMultilevel"/>
    <w:tmpl w:val="8056D940"/>
    <w:lvl w:ilvl="0" w:tplc="CEBA7016">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 w15:restartNumberingAfterBreak="0">
    <w:nsid w:val="39122E60"/>
    <w:multiLevelType w:val="hybridMultilevel"/>
    <w:tmpl w:val="47E8F7F2"/>
    <w:lvl w:ilvl="0" w:tplc="5B7623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7B52EA8"/>
    <w:multiLevelType w:val="hybridMultilevel"/>
    <w:tmpl w:val="12E08958"/>
    <w:lvl w:ilvl="0" w:tplc="2F6A637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NotTrackMoves/>
  <w:defaultTabStop w:val="708"/>
  <w:hyphenationZone w:val="425"/>
  <w:drawingGridHorizontalSpacing w:val="100"/>
  <w:displayHorizontalDrawingGridEvery w:val="2"/>
  <w:characterSpacingControl w:val="doNotCompress"/>
  <w:hdrShapeDefaults>
    <o:shapedefaults v:ext="edit" spidmax="2050"/>
  </w:hdrShapeDefaults>
  <w:footnotePr>
    <w:pos w:val="beneathText"/>
    <w:numFmt w:val="chicago"/>
    <w:footnote w:id="-1"/>
    <w:footnote w:id="0"/>
  </w:footnotePr>
  <w:endnotePr>
    <w:numFmt w:val="decimal"/>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F7684"/>
    <w:rsid w:val="000272B0"/>
    <w:rsid w:val="00041095"/>
    <w:rsid w:val="000513D3"/>
    <w:rsid w:val="00062924"/>
    <w:rsid w:val="00063C2D"/>
    <w:rsid w:val="000736CB"/>
    <w:rsid w:val="00076D70"/>
    <w:rsid w:val="00087527"/>
    <w:rsid w:val="000907F0"/>
    <w:rsid w:val="000C35C5"/>
    <w:rsid w:val="00102834"/>
    <w:rsid w:val="00114469"/>
    <w:rsid w:val="00116246"/>
    <w:rsid w:val="001174DC"/>
    <w:rsid w:val="00164795"/>
    <w:rsid w:val="001A4B50"/>
    <w:rsid w:val="001B14ED"/>
    <w:rsid w:val="001C4BAE"/>
    <w:rsid w:val="0021132F"/>
    <w:rsid w:val="00224AC8"/>
    <w:rsid w:val="00247EC9"/>
    <w:rsid w:val="0025411E"/>
    <w:rsid w:val="00261BCD"/>
    <w:rsid w:val="002675EE"/>
    <w:rsid w:val="002721BB"/>
    <w:rsid w:val="0029078E"/>
    <w:rsid w:val="002D609E"/>
    <w:rsid w:val="002E24C1"/>
    <w:rsid w:val="002E6857"/>
    <w:rsid w:val="00332410"/>
    <w:rsid w:val="00336F5D"/>
    <w:rsid w:val="00345564"/>
    <w:rsid w:val="0037559C"/>
    <w:rsid w:val="0038168D"/>
    <w:rsid w:val="003A687E"/>
    <w:rsid w:val="003B37CD"/>
    <w:rsid w:val="003C3F3F"/>
    <w:rsid w:val="00412AA3"/>
    <w:rsid w:val="00443890"/>
    <w:rsid w:val="00451717"/>
    <w:rsid w:val="00456054"/>
    <w:rsid w:val="004770B0"/>
    <w:rsid w:val="004842A4"/>
    <w:rsid w:val="00485A4C"/>
    <w:rsid w:val="00497201"/>
    <w:rsid w:val="004C66C2"/>
    <w:rsid w:val="004E147C"/>
    <w:rsid w:val="00520333"/>
    <w:rsid w:val="00537E19"/>
    <w:rsid w:val="005405EE"/>
    <w:rsid w:val="00542459"/>
    <w:rsid w:val="00565A24"/>
    <w:rsid w:val="00583EB9"/>
    <w:rsid w:val="00590FF6"/>
    <w:rsid w:val="005A02C7"/>
    <w:rsid w:val="005B358E"/>
    <w:rsid w:val="005B5E2E"/>
    <w:rsid w:val="005C4DBF"/>
    <w:rsid w:val="005D7D2D"/>
    <w:rsid w:val="005F7684"/>
    <w:rsid w:val="00604398"/>
    <w:rsid w:val="00604E1F"/>
    <w:rsid w:val="00644E06"/>
    <w:rsid w:val="00652466"/>
    <w:rsid w:val="006819B1"/>
    <w:rsid w:val="00681CCD"/>
    <w:rsid w:val="006B2AD4"/>
    <w:rsid w:val="006E4628"/>
    <w:rsid w:val="00707793"/>
    <w:rsid w:val="007139C4"/>
    <w:rsid w:val="00716A70"/>
    <w:rsid w:val="00727A99"/>
    <w:rsid w:val="00732C74"/>
    <w:rsid w:val="00734979"/>
    <w:rsid w:val="00751651"/>
    <w:rsid w:val="007576AB"/>
    <w:rsid w:val="00785880"/>
    <w:rsid w:val="007B07EA"/>
    <w:rsid w:val="007B766C"/>
    <w:rsid w:val="007C46EA"/>
    <w:rsid w:val="007C62C6"/>
    <w:rsid w:val="007C7E64"/>
    <w:rsid w:val="007E381E"/>
    <w:rsid w:val="007F408E"/>
    <w:rsid w:val="00802498"/>
    <w:rsid w:val="00821EB7"/>
    <w:rsid w:val="00845F64"/>
    <w:rsid w:val="008764AC"/>
    <w:rsid w:val="00877F7C"/>
    <w:rsid w:val="00883521"/>
    <w:rsid w:val="008A43EC"/>
    <w:rsid w:val="008B0E49"/>
    <w:rsid w:val="008B18C3"/>
    <w:rsid w:val="008B250B"/>
    <w:rsid w:val="008C53EC"/>
    <w:rsid w:val="008D0F66"/>
    <w:rsid w:val="008D5666"/>
    <w:rsid w:val="008E1274"/>
    <w:rsid w:val="008F231A"/>
    <w:rsid w:val="00920E0E"/>
    <w:rsid w:val="00921AA0"/>
    <w:rsid w:val="009333FB"/>
    <w:rsid w:val="00933608"/>
    <w:rsid w:val="00942523"/>
    <w:rsid w:val="00954EEF"/>
    <w:rsid w:val="0097748F"/>
    <w:rsid w:val="00990604"/>
    <w:rsid w:val="009D66C3"/>
    <w:rsid w:val="00A00972"/>
    <w:rsid w:val="00A104E2"/>
    <w:rsid w:val="00A144F5"/>
    <w:rsid w:val="00A2086F"/>
    <w:rsid w:val="00A21236"/>
    <w:rsid w:val="00A56339"/>
    <w:rsid w:val="00A719D6"/>
    <w:rsid w:val="00A755B5"/>
    <w:rsid w:val="00AA1C4C"/>
    <w:rsid w:val="00AC06A4"/>
    <w:rsid w:val="00AE333E"/>
    <w:rsid w:val="00AE73B3"/>
    <w:rsid w:val="00B14452"/>
    <w:rsid w:val="00B3666B"/>
    <w:rsid w:val="00B415C4"/>
    <w:rsid w:val="00B43565"/>
    <w:rsid w:val="00B5062A"/>
    <w:rsid w:val="00B75B4A"/>
    <w:rsid w:val="00BB6160"/>
    <w:rsid w:val="00BD12F7"/>
    <w:rsid w:val="00C14C74"/>
    <w:rsid w:val="00C2102B"/>
    <w:rsid w:val="00C27D4C"/>
    <w:rsid w:val="00C757CC"/>
    <w:rsid w:val="00C81FB6"/>
    <w:rsid w:val="00CA01E3"/>
    <w:rsid w:val="00CF1B41"/>
    <w:rsid w:val="00D1058D"/>
    <w:rsid w:val="00D41A7C"/>
    <w:rsid w:val="00D551FC"/>
    <w:rsid w:val="00D76633"/>
    <w:rsid w:val="00DE09A7"/>
    <w:rsid w:val="00DE5978"/>
    <w:rsid w:val="00DF10D2"/>
    <w:rsid w:val="00DF5684"/>
    <w:rsid w:val="00DF6A43"/>
    <w:rsid w:val="00E00F24"/>
    <w:rsid w:val="00E03EA2"/>
    <w:rsid w:val="00E0632B"/>
    <w:rsid w:val="00E22A98"/>
    <w:rsid w:val="00E2601E"/>
    <w:rsid w:val="00E40078"/>
    <w:rsid w:val="00E44FD9"/>
    <w:rsid w:val="00EA7916"/>
    <w:rsid w:val="00EB3B3B"/>
    <w:rsid w:val="00EE44B3"/>
    <w:rsid w:val="00F15959"/>
    <w:rsid w:val="00F26663"/>
    <w:rsid w:val="00F50AED"/>
    <w:rsid w:val="00F754C9"/>
    <w:rsid w:val="00FC6A0F"/>
    <w:rsid w:val="00FE53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B30B194-6F56-48FC-9743-A3599E36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PMingLiU"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7EA"/>
    <w:pPr>
      <w:ind w:firstLine="284"/>
      <w:jc w:val="both"/>
    </w:pPr>
    <w:rPr>
      <w:rFonts w:ascii="Times New Roman" w:hAnsi="Times New Roman"/>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36F5D"/>
    <w:pPr>
      <w:tabs>
        <w:tab w:val="center" w:pos="4536"/>
        <w:tab w:val="right" w:pos="9072"/>
      </w:tabs>
    </w:pPr>
  </w:style>
  <w:style w:type="character" w:customStyle="1" w:styleId="stBilgiChar">
    <w:name w:val="Üst Bilgi Char"/>
    <w:basedOn w:val="VarsaylanParagrafYazTipi"/>
    <w:link w:val="stBilgi"/>
    <w:uiPriority w:val="99"/>
    <w:rsid w:val="00336F5D"/>
  </w:style>
  <w:style w:type="paragraph" w:styleId="AltBilgi">
    <w:name w:val="footer"/>
    <w:basedOn w:val="Normal"/>
    <w:link w:val="AltBilgiChar"/>
    <w:uiPriority w:val="99"/>
    <w:unhideWhenUsed/>
    <w:rsid w:val="00336F5D"/>
    <w:pPr>
      <w:tabs>
        <w:tab w:val="center" w:pos="4536"/>
        <w:tab w:val="right" w:pos="9072"/>
      </w:tabs>
    </w:pPr>
  </w:style>
  <w:style w:type="character" w:customStyle="1" w:styleId="AltBilgiChar">
    <w:name w:val="Alt Bilgi Char"/>
    <w:basedOn w:val="VarsaylanParagrafYazTipi"/>
    <w:link w:val="AltBilgi"/>
    <w:uiPriority w:val="99"/>
    <w:rsid w:val="00336F5D"/>
  </w:style>
  <w:style w:type="paragraph" w:styleId="BalonMetni">
    <w:name w:val="Balloon Text"/>
    <w:basedOn w:val="Normal"/>
    <w:link w:val="BalonMetniChar"/>
    <w:uiPriority w:val="99"/>
    <w:semiHidden/>
    <w:unhideWhenUsed/>
    <w:rsid w:val="00336F5D"/>
    <w:rPr>
      <w:rFonts w:ascii="Tahoma" w:hAnsi="Tahoma" w:cs="Tahoma"/>
      <w:sz w:val="16"/>
      <w:szCs w:val="16"/>
    </w:rPr>
  </w:style>
  <w:style w:type="character" w:customStyle="1" w:styleId="BalonMetniChar">
    <w:name w:val="Balon Metni Char"/>
    <w:link w:val="BalonMetni"/>
    <w:uiPriority w:val="99"/>
    <w:semiHidden/>
    <w:rsid w:val="00336F5D"/>
    <w:rPr>
      <w:rFonts w:ascii="Tahoma" w:hAnsi="Tahoma" w:cs="Tahoma"/>
      <w:sz w:val="16"/>
      <w:szCs w:val="16"/>
    </w:rPr>
  </w:style>
  <w:style w:type="character" w:styleId="Kpr">
    <w:name w:val="Hyperlink"/>
    <w:uiPriority w:val="99"/>
    <w:unhideWhenUsed/>
    <w:rsid w:val="00336F5D"/>
    <w:rPr>
      <w:color w:val="0000FF"/>
      <w:u w:val="single"/>
    </w:rPr>
  </w:style>
  <w:style w:type="paragraph" w:customStyle="1" w:styleId="IACHeading">
    <w:name w:val="IAC Heading"/>
    <w:basedOn w:val="Normal"/>
    <w:link w:val="IACHeadingChar"/>
    <w:qFormat/>
    <w:rsid w:val="007B07EA"/>
    <w:pPr>
      <w:jc w:val="center"/>
    </w:pPr>
    <w:rPr>
      <w:caps/>
      <w:u w:val="single"/>
    </w:rPr>
  </w:style>
  <w:style w:type="paragraph" w:customStyle="1" w:styleId="IACSubheading">
    <w:name w:val="IAC Subheading"/>
    <w:link w:val="IACSubheadingChar"/>
    <w:qFormat/>
    <w:rsid w:val="00332410"/>
    <w:rPr>
      <w:rFonts w:ascii="Times New Roman" w:hAnsi="Times New Roman"/>
      <w:u w:val="single"/>
      <w:lang w:eastAsia="en-US"/>
    </w:rPr>
  </w:style>
  <w:style w:type="character" w:customStyle="1" w:styleId="IACHeadingChar">
    <w:name w:val="IAC Heading Char"/>
    <w:link w:val="IACHeading"/>
    <w:rsid w:val="007B07EA"/>
    <w:rPr>
      <w:rFonts w:ascii="Times New Roman" w:hAnsi="Times New Roman"/>
      <w:caps/>
      <w:u w:val="single"/>
      <w:lang w:val="en-GB" w:eastAsia="en-US"/>
    </w:rPr>
  </w:style>
  <w:style w:type="paragraph" w:customStyle="1" w:styleId="IACSub-subheading">
    <w:name w:val="IAC Sub-subheading"/>
    <w:basedOn w:val="Normal"/>
    <w:link w:val="IACSub-subheadingChar"/>
    <w:qFormat/>
    <w:rsid w:val="007B07EA"/>
    <w:rPr>
      <w:u w:val="single"/>
    </w:rPr>
  </w:style>
  <w:style w:type="character" w:customStyle="1" w:styleId="IACSubheadingChar">
    <w:name w:val="IAC Subheading Char"/>
    <w:link w:val="IACSubheading"/>
    <w:rsid w:val="00332410"/>
    <w:rPr>
      <w:rFonts w:ascii="Times New Roman" w:hAnsi="Times New Roman"/>
      <w:u w:val="single"/>
      <w:lang w:val="en-GB" w:eastAsia="en-US" w:bidi="ar-SA"/>
    </w:rPr>
  </w:style>
  <w:style w:type="paragraph" w:styleId="DipnotMetni">
    <w:name w:val="footnote text"/>
    <w:basedOn w:val="Normal"/>
    <w:link w:val="DipnotMetniChar"/>
    <w:uiPriority w:val="99"/>
    <w:semiHidden/>
    <w:unhideWhenUsed/>
    <w:rsid w:val="007B07EA"/>
  </w:style>
  <w:style w:type="character" w:customStyle="1" w:styleId="IACSub-subheadingChar">
    <w:name w:val="IAC Sub-subheading Char"/>
    <w:link w:val="IACSub-subheading"/>
    <w:rsid w:val="007B07EA"/>
    <w:rPr>
      <w:rFonts w:ascii="Times New Roman" w:hAnsi="Times New Roman"/>
      <w:u w:val="single"/>
      <w:lang w:val="en-GB" w:eastAsia="en-US"/>
    </w:rPr>
  </w:style>
  <w:style w:type="character" w:customStyle="1" w:styleId="DipnotMetniChar">
    <w:name w:val="Dipnot Metni Char"/>
    <w:link w:val="DipnotMetni"/>
    <w:uiPriority w:val="99"/>
    <w:semiHidden/>
    <w:rsid w:val="007B07EA"/>
    <w:rPr>
      <w:rFonts w:ascii="Times New Roman" w:hAnsi="Times New Roman"/>
      <w:lang w:val="en-GB" w:eastAsia="en-US"/>
    </w:rPr>
  </w:style>
  <w:style w:type="character" w:styleId="DipnotBavurusu">
    <w:name w:val="footnote reference"/>
    <w:uiPriority w:val="99"/>
    <w:semiHidden/>
    <w:unhideWhenUsed/>
    <w:rsid w:val="007B07EA"/>
    <w:rPr>
      <w:vertAlign w:val="superscript"/>
    </w:rPr>
  </w:style>
  <w:style w:type="paragraph" w:styleId="SonnotMetni">
    <w:name w:val="endnote text"/>
    <w:basedOn w:val="Normal"/>
    <w:link w:val="SonnotMetniChar"/>
    <w:uiPriority w:val="99"/>
    <w:semiHidden/>
    <w:unhideWhenUsed/>
    <w:rsid w:val="004770B0"/>
  </w:style>
  <w:style w:type="character" w:customStyle="1" w:styleId="SonnotMetniChar">
    <w:name w:val="Sonnot Metni Char"/>
    <w:link w:val="SonnotMetni"/>
    <w:uiPriority w:val="99"/>
    <w:semiHidden/>
    <w:rsid w:val="004770B0"/>
    <w:rPr>
      <w:rFonts w:ascii="Times New Roman" w:hAnsi="Times New Roman"/>
      <w:lang w:val="en-GB" w:eastAsia="en-US"/>
    </w:rPr>
  </w:style>
  <w:style w:type="character" w:styleId="SonnotBavurusu">
    <w:name w:val="endnote reference"/>
    <w:uiPriority w:val="99"/>
    <w:semiHidden/>
    <w:unhideWhenUsed/>
    <w:rsid w:val="004770B0"/>
    <w:rPr>
      <w:vertAlign w:val="superscript"/>
    </w:rPr>
  </w:style>
  <w:style w:type="paragraph" w:styleId="NormalWeb">
    <w:name w:val="Normal (Web)"/>
    <w:basedOn w:val="Normal"/>
    <w:uiPriority w:val="99"/>
    <w:semiHidden/>
    <w:unhideWhenUsed/>
    <w:rsid w:val="00802498"/>
    <w:pPr>
      <w:spacing w:before="100" w:beforeAutospacing="1" w:after="100" w:afterAutospacing="1"/>
      <w:ind w:firstLine="0"/>
      <w:jc w:val="left"/>
    </w:pPr>
    <w:rPr>
      <w:rFonts w:ascii="PMingLiU" w:hAnsi="PMingLiU" w:cs="PMingLiU"/>
      <w:sz w:val="24"/>
      <w:szCs w:val="24"/>
      <w:lang w:val="en-US" w:eastAsia="zh-TW"/>
    </w:rPr>
  </w:style>
  <w:style w:type="character" w:styleId="Vurgu">
    <w:name w:val="Emphasis"/>
    <w:uiPriority w:val="20"/>
    <w:qFormat/>
    <w:rsid w:val="00802498"/>
    <w:rPr>
      <w:i/>
      <w:iCs/>
    </w:rPr>
  </w:style>
  <w:style w:type="character" w:customStyle="1" w:styleId="apple-converted-space">
    <w:name w:val="apple-converted-space"/>
    <w:rsid w:val="00802498"/>
  </w:style>
  <w:style w:type="character" w:styleId="Gl">
    <w:name w:val="Strong"/>
    <w:uiPriority w:val="22"/>
    <w:qFormat/>
    <w:rsid w:val="00041095"/>
    <w:rPr>
      <w:b/>
      <w:bCs/>
    </w:rPr>
  </w:style>
  <w:style w:type="character" w:customStyle="1" w:styleId="longtext1">
    <w:name w:val="long_text1"/>
    <w:rsid w:val="00DF10D2"/>
    <w:rPr>
      <w:sz w:val="20"/>
      <w:szCs w:val="20"/>
    </w:rPr>
  </w:style>
  <w:style w:type="paragraph" w:customStyle="1" w:styleId="Balk11">
    <w:name w:val="Başlık 11"/>
    <w:basedOn w:val="Normal"/>
  </w:style>
  <w:style w:type="paragraph" w:customStyle="1" w:styleId="Balk21">
    <w:name w:val="Başlık 2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943778">
      <w:bodyDiv w:val="1"/>
      <w:marLeft w:val="0"/>
      <w:marRight w:val="0"/>
      <w:marTop w:val="0"/>
      <w:marBottom w:val="0"/>
      <w:divBdr>
        <w:top w:val="none" w:sz="0" w:space="0" w:color="auto"/>
        <w:left w:val="none" w:sz="0" w:space="0" w:color="auto"/>
        <w:bottom w:val="none" w:sz="0" w:space="0" w:color="auto"/>
        <w:right w:val="none" w:sz="0" w:space="0" w:color="auto"/>
      </w:divBdr>
    </w:div>
    <w:div w:id="182080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ppe\Desktop\IAF\backup%20Janv2011\IAF\1%20-%20Filling\01%20-%20IAC\IAC%202010\Authors%20&amp;%20Papers\Instructions%20-%20authors\Manuscripts\Templates\IAC10_Paper_Template_MSOffice\IAC10_Paper_Template_MSOffi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IAC10_Paper_Template_MSOffice.dot</Template>
  <TotalTime>0</TotalTime>
  <Pages>3</Pages>
  <Words>2668</Words>
  <Characters>15210</Characters>
  <Application>Microsoft Office Word</Application>
  <DocSecurity>0</DocSecurity>
  <Lines>126</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IAF</Company>
  <LinksUpToDate>false</LinksUpToDate>
  <CharactersWithSpaces>17843</CharactersWithSpaces>
  <SharedDoc>false</SharedDoc>
  <HLinks>
    <vt:vector size="12" baseType="variant">
      <vt:variant>
        <vt:i4>4259919</vt:i4>
      </vt:variant>
      <vt:variant>
        <vt:i4>6</vt:i4>
      </vt:variant>
      <vt:variant>
        <vt:i4>0</vt:i4>
      </vt:variant>
      <vt:variant>
        <vt:i4>5</vt:i4>
      </vt:variant>
      <vt:variant>
        <vt:lpwstr>http://www.gizmag.com/spaceport-america-hits-nags/36200/</vt:lpwstr>
      </vt:variant>
      <vt:variant>
        <vt:lpwstr/>
      </vt:variant>
      <vt:variant>
        <vt:i4>6619229</vt:i4>
      </vt:variant>
      <vt:variant>
        <vt:i4>3</vt:i4>
      </vt:variant>
      <vt:variant>
        <vt:i4>0</vt:i4>
      </vt:variant>
      <vt:variant>
        <vt:i4>5</vt:i4>
      </vt:variant>
      <vt:variant>
        <vt:lpwstr>http://upload.wikimedia.org/wikipedia/commons/a/ad/SS2_and_VMS_Eve.jpg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Simulation Approach for Assessing Space Debris Collision Risk in Low Earth Orbit</dc:title>
  <dc:subject>IAC 2026 technical manuscript</dc:subject>
  <dc:creator>Mustafa İsa Oruçtutan</dc:creator>
  <cp:keywords>space debris, conjunction analysis, SGP4, machine learning</cp:keywords>
  <cp:lastModifiedBy>mustafa isa oruçtutan</cp:lastModifiedBy>
  <cp:revision>3</cp:revision>
  <dcterms:created xsi:type="dcterms:W3CDTF">2026-08-11T08:52:00Z</dcterms:created>
  <dcterms:modified xsi:type="dcterms:W3CDTF">2026-09-01T10:37:00Z</dcterms:modified>
</cp:coreProperties>
</file>