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933" w:rsidRDefault="00A07137">
      <w:pPr>
        <w:spacing w:after="100"/>
        <w:jc w:val="center"/>
      </w:pPr>
      <w:bookmarkStart w:id="0" w:name="_GoBack"/>
      <w:bookmarkEnd w:id="0"/>
      <w:r>
        <w:rPr>
          <w:rFonts w:eastAsia="Times New Roman"/>
        </w:rPr>
        <w:t>IAC-26-A6.IP.6</w:t>
      </w:r>
    </w:p>
    <w:p w:rsidR="00D76933" w:rsidRDefault="00A07137">
      <w:pPr>
        <w:keepNext/>
        <w:spacing w:after="100"/>
        <w:jc w:val="center"/>
      </w:pPr>
      <w:r>
        <w:rPr>
          <w:rFonts w:eastAsia="Times New Roman"/>
          <w:b/>
          <w:sz w:val="24"/>
        </w:rPr>
        <w:t>Machine Learning-Based Simulation Approach for Assessing Space Debris Collision Risk in Low Earth Orbit</w:t>
      </w:r>
    </w:p>
    <w:p w:rsidR="00D76933" w:rsidRDefault="00A07137">
      <w:pPr>
        <w:keepNext/>
        <w:spacing w:after="20"/>
        <w:jc w:val="center"/>
      </w:pPr>
      <w:r>
        <w:rPr>
          <w:rFonts w:eastAsia="Times New Roman"/>
          <w:b/>
        </w:rPr>
        <w:t>Mustafa İsa Oruçtutan*</w:t>
      </w:r>
    </w:p>
    <w:p w:rsidR="00D76933" w:rsidRDefault="00A07137">
      <w:pPr>
        <w:keepNext/>
        <w:jc w:val="center"/>
      </w:pPr>
      <w:r>
        <w:rPr>
          <w:rFonts w:eastAsia="Times New Roman"/>
          <w:i/>
        </w:rPr>
        <w:t>Fırat University, Elazığ, Türkiye</w:t>
      </w:r>
    </w:p>
    <w:p w:rsidR="00D76933" w:rsidRDefault="00A07137">
      <w:pPr>
        <w:spacing w:after="20"/>
        <w:jc w:val="center"/>
      </w:pPr>
      <w:r>
        <w:rPr>
          <w:rFonts w:eastAsia="Times New Roman"/>
          <w:i/>
        </w:rPr>
        <w:t>mustafaisaoructutan@gmail.com</w:t>
      </w:r>
    </w:p>
    <w:p w:rsidR="00D76933" w:rsidRDefault="00A07137">
      <w:pPr>
        <w:spacing w:after="80"/>
        <w:jc w:val="left"/>
      </w:pPr>
      <w:r>
        <w:rPr>
          <w:rFonts w:eastAsia="Times New Roman"/>
          <w:sz w:val="18"/>
        </w:rPr>
        <w:t>* Corresponding author</w:t>
      </w:r>
    </w:p>
    <w:p w:rsidR="00D76933" w:rsidRDefault="00A07137">
      <w:pPr>
        <w:keepNext/>
        <w:spacing w:before="60" w:after="20"/>
        <w:jc w:val="center"/>
      </w:pPr>
      <w:r>
        <w:rPr>
          <w:rFonts w:eastAsia="Times New Roman"/>
          <w:b/>
        </w:rPr>
        <w:t>Abstract</w:t>
      </w:r>
    </w:p>
    <w:p w:rsidR="00D76933" w:rsidRDefault="00A07137">
      <w:pPr>
        <w:spacing w:after="20"/>
      </w:pPr>
      <w:r>
        <w:rPr>
          <w:rFonts w:eastAsia="Times New Roman"/>
        </w:rPr>
        <w:t>This study presents an open-source framework for analysing conjunction events among catalogued objects in low Earth orbit using public Two-Line Element data and SGP4 propagation. Candidate encou</w:t>
      </w:r>
      <w:r>
        <w:rPr>
          <w:rFonts w:eastAsia="Times New Roman"/>
        </w:rPr>
        <w:t>nters are identified through conservative screening followed by refined time-of-closest-approach estimation. A deterministic proxy label combines propagated minimum separation and relative velocity at closest approach. To prevent temporal leakage and catal</w:t>
      </w:r>
      <w:r>
        <w:rPr>
          <w:rFonts w:eastAsia="Times New Roman"/>
        </w:rPr>
        <w:t>ogue-pair memorisation, Logistic Regression, Random Forest, Support Vector Machine and XGBoost models are evaluated using a chronological cutoff and held-out object pairs. The completed archive contained 97 verified snapshots, 19,018 candidate-pair observa</w:t>
      </w:r>
      <w:r>
        <w:rPr>
          <w:rFonts w:eastAsia="Times New Roman"/>
        </w:rPr>
        <w:t>tions and 1,469 proxy-positive observations. The held-out partition contained 2,795 observations and 223 positives. SVM achieved the highest learned-model PR-AUC of 0.418 and recall of 0.874, while LightGBM achieved the highest learned-model F1 score of 0.</w:t>
      </w:r>
      <w:r>
        <w:rPr>
          <w:rFonts w:eastAsia="Times New Roman"/>
        </w:rPr>
        <w:t>438. However, the propagated-distance ranking achieved a PR-AUC of 0.725, and its fixed 25 km operating point achieved an F1 score of 0.510. The exploratory results did not show a superior false-alarm trade-off. The pre-specified adaptability claim was not</w:t>
      </w:r>
      <w:r>
        <w:rPr>
          <w:rFonts w:eastAsia="Times New Roman"/>
        </w:rPr>
        <w:t xml:space="preserve"> evaluated confirmatorily because the archive did not satisfy the pre-specified acquisition-cadence gates. Accordingly, these findings are reported as pilot evidence rather than as confirmatory or operational collision-risk performance. The principal contr</w:t>
      </w:r>
      <w:r>
        <w:rPr>
          <w:rFonts w:eastAsia="Times New Roman"/>
        </w:rPr>
        <w:t>ibution is a reproducible, leakage-resistant evaluation framework and a transparent negative result that identifies limitations of snapshot-only learning against a target-aligned distance comparator.</w:t>
      </w:r>
    </w:p>
    <w:p w:rsidR="00D76933" w:rsidRDefault="00A07137">
      <w:pPr>
        <w:spacing w:after="60"/>
      </w:pPr>
      <w:r>
        <w:rPr>
          <w:rFonts w:eastAsia="Times New Roman"/>
          <w:b/>
        </w:rPr>
        <w:t xml:space="preserve">Keywords: </w:t>
      </w:r>
      <w:r>
        <w:rPr>
          <w:rFonts w:eastAsia="Times New Roman"/>
        </w:rPr>
        <w:t>space debris; conjunction analysis; SGP4; mach</w:t>
      </w:r>
      <w:r>
        <w:rPr>
          <w:rFonts w:eastAsia="Times New Roman"/>
        </w:rPr>
        <w:t>ine learning; temporal validation; false alarms</w:t>
      </w:r>
    </w:p>
    <w:p w:rsidR="00D76933" w:rsidRDefault="00A07137">
      <w:pPr>
        <w:spacing w:after="60"/>
      </w:pPr>
      <w:r>
        <w:rPr>
          <w:rFonts w:eastAsia="Times New Roman"/>
          <w:b/>
          <w:sz w:val="18"/>
        </w:rPr>
        <w:t xml:space="preserve">Acronyms/Abbreviations: </w:t>
      </w:r>
      <w:r>
        <w:rPr>
          <w:rFonts w:eastAsia="Times New Roman"/>
          <w:sz w:val="18"/>
        </w:rPr>
        <w:t>FAR - false-alarm rate; LEO - low Earth orbit; PR-AUC - area under the precision-recall curve; SGP4 - Simplified General Perturbations 4; SVM - support vector machine; TCA - time of cl</w:t>
      </w:r>
      <w:r>
        <w:rPr>
          <w:rFonts w:eastAsia="Times New Roman"/>
          <w:sz w:val="18"/>
        </w:rPr>
        <w:t>osest approach; TLE - Two-Line Element.</w:t>
      </w:r>
    </w:p>
    <w:p w:rsidR="00D76933" w:rsidRDefault="00D76933">
      <w:pPr>
        <w:sectPr w:rsidR="00D76933">
          <w:headerReference w:type="default" r:id="rId7"/>
          <w:footerReference w:type="default" r:id="rId8"/>
          <w:footnotePr>
            <w:pos w:val="beneathText"/>
            <w:numFmt w:val="chicago"/>
          </w:footnotePr>
          <w:endnotePr>
            <w:numFmt w:val="decimal"/>
          </w:endnotePr>
          <w:type w:val="continuous"/>
          <w:pgSz w:w="12240" w:h="15840" w:code="1"/>
          <w:pgMar w:top="1411" w:right="1411" w:bottom="1411" w:left="1411" w:header="389" w:footer="360" w:gutter="0"/>
          <w:cols w:space="360"/>
          <w:docGrid w:linePitch="360"/>
        </w:sectPr>
      </w:pPr>
    </w:p>
    <w:p w:rsidR="00D76933" w:rsidRDefault="00A07137">
      <w:pPr>
        <w:pStyle w:val="Balk11"/>
        <w:keepNext/>
        <w:spacing w:before="100" w:after="20"/>
        <w:jc w:val="left"/>
        <w:outlineLvl w:val="0"/>
      </w:pPr>
      <w:r>
        <w:rPr>
          <w:rFonts w:eastAsia="Times New Roman"/>
          <w:b/>
        </w:rPr>
        <w:lastRenderedPageBreak/>
        <w:t>1. Introduction</w:t>
      </w:r>
    </w:p>
    <w:p w:rsidR="00D76933" w:rsidRDefault="00A07137">
      <w:pPr>
        <w:ind w:firstLine="288"/>
      </w:pPr>
      <w:r>
        <w:rPr>
          <w:rFonts w:eastAsia="Times New Roman"/>
        </w:rPr>
        <w:t>The increasing number of active spacecraft and debris objects in LEO raises the volume of conjunctions that must be screened. Public TLE data make repeatable acade</w:t>
      </w:r>
      <w:r>
        <w:rPr>
          <w:rFonts w:eastAsia="Times New Roman"/>
        </w:rPr>
        <w:t>mic studies possible, but they do not provide the covariance, hard-body radius and validated outcome information needed for a reliable operational probability of collision. This work therefore studies a transparent simulation-derived proxy rather than phys</w:t>
      </w:r>
      <w:r>
        <w:rPr>
          <w:rFonts w:eastAsia="Times New Roman"/>
        </w:rPr>
        <w:t>ical collision probability. The distinction is essential: the reported labels describe propagated encounter geometry under stated assumptions, not confirmed hazardous events [9].</w:t>
      </w:r>
    </w:p>
    <w:p w:rsidR="00D76933" w:rsidRDefault="00A07137">
      <w:pPr>
        <w:ind w:firstLine="288"/>
      </w:pPr>
      <w:r>
        <w:rPr>
          <w:rFonts w:eastAsia="Times New Roman"/>
        </w:rPr>
        <w:t>Machine-learning studies of repeated orbital observations are particularly vu</w:t>
      </w:r>
      <w:r>
        <w:rPr>
          <w:rFonts w:eastAsia="Times New Roman"/>
        </w:rPr>
        <w:t>lnerable to optimistic validation. Random row splits can place the same catalogue pair, neighbouring snapshots, or information derived from the future closest approach in both training and test partitions. A model may then appear to generalise while memori</w:t>
      </w:r>
      <w:r>
        <w:rPr>
          <w:rFonts w:eastAsia="Times New Roman"/>
        </w:rPr>
        <w:t>sing pair identity or exploiting target-defining variables. The present evaluation addresses both risks by separating time and catalogue pairs and by restricting learners to quantities available at the observation snapshot.</w:t>
      </w:r>
    </w:p>
    <w:p w:rsidR="00D76933" w:rsidRDefault="00A07137">
      <w:pPr>
        <w:ind w:firstLine="288"/>
      </w:pPr>
      <w:r>
        <w:rPr>
          <w:rFonts w:eastAsia="Times New Roman"/>
        </w:rPr>
        <w:t>The accepted study hypothesis an</w:t>
      </w:r>
      <w:r>
        <w:rPr>
          <w:rFonts w:eastAsia="Times New Roman"/>
        </w:rPr>
        <w:t xml:space="preserve">ticipated higher adaptability and fewer false alarms from machine-learning classifiers than from a classical fixed-distance </w:t>
      </w:r>
      <w:r>
        <w:rPr>
          <w:rFonts w:eastAsia="Times New Roman"/>
        </w:rPr>
        <w:lastRenderedPageBreak/>
        <w:t>method. The purpose of this paper is to test that expectation transparently, not to preserve it after observing the data. The contri</w:t>
      </w:r>
      <w:r>
        <w:rPr>
          <w:rFonts w:eastAsia="Times New Roman"/>
        </w:rPr>
        <w:t>butions are: (i) an auditable TLE/SGP4 acquisition and propagation pipeline; (ii) conservative screening followed by refined TCA search; (iii) an explicit feature boundary that excludes future and target-defining information; (iv) a deterministic pair-held</w:t>
      </w:r>
      <w:r>
        <w:rPr>
          <w:rFonts w:eastAsia="Times New Roman"/>
        </w:rPr>
        <w:t>-out chronological evaluation; and (v) direct reporting of a negative exploratory result.</w:t>
      </w:r>
    </w:p>
    <w:p w:rsidR="00D76933" w:rsidRDefault="00A07137">
      <w:pPr>
        <w:pStyle w:val="Balk11"/>
        <w:keepNext/>
        <w:spacing w:before="100" w:after="20"/>
        <w:jc w:val="left"/>
        <w:outlineLvl w:val="0"/>
      </w:pPr>
      <w:r>
        <w:rPr>
          <w:rFonts w:eastAsia="Times New Roman"/>
          <w:b/>
        </w:rPr>
        <w:t>2. Data and methods</w:t>
      </w:r>
    </w:p>
    <w:p w:rsidR="00D76933" w:rsidRDefault="00A07137">
      <w:pPr>
        <w:pStyle w:val="Balk21"/>
        <w:keepNext/>
        <w:spacing w:before="60" w:after="20"/>
        <w:jc w:val="left"/>
        <w:outlineLvl w:val="1"/>
      </w:pPr>
      <w:r>
        <w:rPr>
          <w:rFonts w:eastAsia="Times New Roman"/>
          <w:i/>
        </w:rPr>
        <w:t>2.1 Observation archive and quality status</w:t>
      </w:r>
    </w:p>
    <w:p w:rsidR="00D76933" w:rsidRDefault="00A07137">
      <w:pPr>
        <w:ind w:firstLine="288"/>
      </w:pPr>
      <w:r>
        <w:rPr>
          <w:rFonts w:eastAsia="Times New Roman"/>
        </w:rPr>
        <w:t>The frozen iac26-leo-mixed-75-v2 catalogue comprises 75 LEO objects identified by NORAD catalogue numbe</w:t>
      </w:r>
      <w:r>
        <w:rPr>
          <w:rFonts w:eastAsia="Times New Roman"/>
        </w:rPr>
        <w:t>r, including selected Iridium 33 and Cosmos 2251 fragments and multiple inclination regimes. TLE snapshots were requested from CelesTrak [10], with an authenticated Space-Track fallback [11] when available, and stored as immutable schema-3 bundles. Each bu</w:t>
      </w:r>
      <w:r>
        <w:rPr>
          <w:rFonts w:eastAsia="Times New Roman"/>
        </w:rPr>
        <w:t xml:space="preserve">ndle binds the experiment identifier, embedded configuration, catalogue hash, source-data hash, runtime provenance and simulation parameters. The catalogue SHA-256 is 64c3d2329281da0e246226cb552aafe3b961c553c9487d7cfd9c96374aaa1f4c. All retained snapshots </w:t>
      </w:r>
      <w:r>
        <w:rPr>
          <w:rFonts w:eastAsia="Times New Roman"/>
        </w:rPr>
        <w:t>were re-simulated with the corrected global TCA search before the exploratory comparison.</w:t>
      </w:r>
    </w:p>
    <w:p w:rsidR="00D76933" w:rsidRDefault="00A07137">
      <w:pPr>
        <w:ind w:firstLine="288"/>
      </w:pPr>
      <w:r>
        <w:rPr>
          <w:rFonts w:eastAsia="Times New Roman"/>
        </w:rPr>
        <w:lastRenderedPageBreak/>
        <w:t xml:space="preserve">The completed iac26-10d-v3 archive spans 26 July to 5 August 2026 and contains 97 verified snapshots from 120 planned two-hour slots. Coverage was 80.833%, below the </w:t>
      </w:r>
      <w:r>
        <w:rPr>
          <w:rFonts w:eastAsia="Times New Roman"/>
        </w:rPr>
        <w:t>pre-specified 90% minimum. The endpoint-inclusive maximum gap was 16.844 h rather than at most 6 h, and the longest identical-TLE-hash run was eight occupied bins rather than at most six. The canonical confirmatory outcome is therefore not_enough_data. Num</w:t>
      </w:r>
      <w:r>
        <w:rPr>
          <w:rFonts w:eastAsia="Times New Roman"/>
        </w:rPr>
        <w:t>erical model results below are explicitly exploratory and do not reopen the failed publication gate. The preceding v2 run was retained as a pilot and was not pooled after repeated identical TLE inputs made its corresponding gate irrecoverable; catalogue, t</w:t>
      </w:r>
      <w:r>
        <w:rPr>
          <w:rFonts w:eastAsia="Times New Roman"/>
        </w:rPr>
        <w:t>hresholds, split seeds and model settings were unchanged in v3.</w:t>
      </w:r>
    </w:p>
    <w:p w:rsidR="00D76933" w:rsidRDefault="00A07137">
      <w:pPr>
        <w:pStyle w:val="Balk21"/>
        <w:keepNext/>
        <w:spacing w:before="60" w:after="20"/>
        <w:jc w:val="left"/>
        <w:outlineLvl w:val="1"/>
      </w:pPr>
      <w:r>
        <w:rPr>
          <w:rFonts w:eastAsia="Times New Roman"/>
          <w:i/>
        </w:rPr>
        <w:t>2.2 Propagation, screening and proxy target</w:t>
      </w:r>
    </w:p>
    <w:p w:rsidR="00D76933" w:rsidRDefault="00A07137">
      <w:pPr>
        <w:ind w:firstLine="288"/>
      </w:pPr>
      <w:r>
        <w:rPr>
          <w:rFonts w:eastAsia="Times New Roman"/>
        </w:rPr>
        <w:t xml:space="preserve">State vectors are propagated with the modernised SGP4 implementation documented by Vallado et al. [1] over a 12 h horizon. A vectorised 30 s screen </w:t>
      </w:r>
      <w:r>
        <w:rPr>
          <w:rFonts w:eastAsia="Times New Roman"/>
        </w:rPr>
        <w:t>removes only pairs for which a 200 km encounter is impossible under the configured relative-speed bound and numerical guard. All remaining pairs are evaluated over every 5 min interval with a refined minimum search within each interval, consistent with est</w:t>
      </w:r>
      <w:r>
        <w:rPr>
          <w:rFonts w:eastAsia="Times New Roman"/>
        </w:rPr>
        <w:t>ablished close-approach methods [2,13]. Invalid or unbounded screening assumptions fail open to exact refinement. The 200 km screen and 30 s step were frozen engineering choices balancing conservative retention and computational cost; they are not physical</w:t>
      </w:r>
      <w:r>
        <w:rPr>
          <w:rFonts w:eastAsia="Times New Roman"/>
        </w:rPr>
        <w:t xml:space="preserve"> collision thresholds.</w:t>
      </w:r>
    </w:p>
    <w:p w:rsidR="00D76933" w:rsidRDefault="00A07137">
      <w:pPr>
        <w:ind w:firstLine="288"/>
      </w:pPr>
      <w:r>
        <w:rPr>
          <w:rFonts w:eastAsia="Times New Roman"/>
        </w:rPr>
        <w:t>A row is proxy-positive when propagated minimum distance is at most 50 km and relative velocity at TCA is at least 10 km/s. The corrected history contains 19,018 candidate observations from 1,656 unique catalogue pairs; 1,469 rows (7</w:t>
      </w:r>
      <w:r>
        <w:rPr>
          <w:rFonts w:eastAsia="Times New Roman"/>
        </w:rPr>
        <w:t>.724%) satisfy this rule. The target is intentionally deterministic and auditable. It is not probability of collision, because public TLEs do not supply the covariance and hard-body information required for operational assessment [3].</w:t>
      </w:r>
    </w:p>
    <w:p w:rsidR="00D76933" w:rsidRDefault="00A07137">
      <w:pPr>
        <w:pStyle w:val="Balk21"/>
        <w:keepNext/>
        <w:spacing w:before="60" w:after="20"/>
        <w:jc w:val="left"/>
        <w:outlineLvl w:val="1"/>
      </w:pPr>
      <w:r>
        <w:rPr>
          <w:rFonts w:eastAsia="Times New Roman"/>
          <w:i/>
        </w:rPr>
        <w:t xml:space="preserve">2.3 Predictors and </w:t>
      </w:r>
      <w:r>
        <w:rPr>
          <w:rFonts w:eastAsia="Times New Roman"/>
          <w:i/>
        </w:rPr>
        <w:t>classifiers</w:t>
      </w:r>
    </w:p>
    <w:p w:rsidR="00D76933" w:rsidRDefault="00A07137">
      <w:pPr>
        <w:ind w:firstLine="288"/>
      </w:pPr>
      <w:r>
        <w:rPr>
          <w:rFonts w:eastAsia="Times New Roman"/>
        </w:rPr>
        <w:t xml:space="preserve">The learned models receive six snapshot-state predictors: current pair distance, altitude difference, maximum TLE age, radial relative velocity, tangential relative velocity and approach angle. Minimum future </w:t>
      </w:r>
      <w:r>
        <w:rPr>
          <w:rFonts w:eastAsia="Times New Roman"/>
        </w:rPr>
        <w:lastRenderedPageBreak/>
        <w:t>distance, TCA, time to TCA, relativ</w:t>
      </w:r>
      <w:r>
        <w:rPr>
          <w:rFonts w:eastAsia="Times New Roman"/>
        </w:rPr>
        <w:t>e velocity at TCA, risk score and other target-defining or target-reconstructing quantities are excluded. Standardisation is fitted only on the training partition for Logistic Regression and the radial-basis-function SVM.</w:t>
      </w:r>
    </w:p>
    <w:p w:rsidR="00D76933" w:rsidRDefault="00A07137">
      <w:pPr>
        <w:ind w:firstLine="288"/>
      </w:pPr>
      <w:r>
        <w:rPr>
          <w:rFonts w:eastAsia="Times New Roman"/>
        </w:rPr>
        <w:t xml:space="preserve">XGBoost [7] is the pre-specified </w:t>
      </w:r>
      <w:r>
        <w:rPr>
          <w:rFonts w:eastAsia="Times New Roman"/>
        </w:rPr>
        <w:t>primary learned model. Logistic Regression, Random Forest [5], SVM [6], Decision Tree and LightGBM [8] are secondary exploratory comparisons implemented with scikit-learn-compatible workflows [12]. Logistic Regression, Decision Tree, Random Forest, SVM and</w:t>
      </w:r>
      <w:r>
        <w:rPr>
          <w:rFonts w:eastAsia="Times New Roman"/>
        </w:rPr>
        <w:t xml:space="preserve"> LightGBM use balanced class weights; XGBoost uses the training ratio of negative to positive rows as scale_pos_weight. Random Forest uses 100 trees. Fixed random seed 42 is used where the implementation exposes a random_state parameter. Binary metrics use</w:t>
      </w:r>
      <w:r>
        <w:rPr>
          <w:rFonts w:eastAsia="Times New Roman"/>
        </w:rPr>
        <w:t xml:space="preserve"> each implementation's default decision rule (probability 0.5, or SVM decision score 0), not recall-matched thresholds. These choices are applied uniformly without test-set tuning.</w:t>
      </w:r>
    </w:p>
    <w:p w:rsidR="00D76933" w:rsidRDefault="00A07137">
      <w:pPr>
        <w:pStyle w:val="Balk21"/>
        <w:keepNext/>
        <w:spacing w:before="60" w:after="20"/>
        <w:jc w:val="left"/>
        <w:outlineLvl w:val="1"/>
      </w:pPr>
      <w:r>
        <w:rPr>
          <w:rFonts w:eastAsia="Times New Roman"/>
          <w:i/>
        </w:rPr>
        <w:t>2.4 Leakage-resistant split and metrics</w:t>
      </w:r>
    </w:p>
    <w:p w:rsidR="00D76933" w:rsidRDefault="00A07137">
      <w:pPr>
        <w:ind w:firstLine="288"/>
      </w:pPr>
      <w:r>
        <w:rPr>
          <w:rFonts w:eastAsia="Times New Roman"/>
        </w:rPr>
        <w:t>Canonical catalogue pairs are assig</w:t>
      </w:r>
      <w:r>
        <w:rPr>
          <w:rFonts w:eastAsia="Times New Roman"/>
        </w:rPr>
        <w:t>ned deterministically by a salted SHA-256 mapping. A cutoff is placed between complete snapshot blocks at 40% of the observed times, while 25% of catalogue pairs are reserved for testing. Only training-pair observations before the cutoff enter fitting; onl</w:t>
      </w:r>
      <w:r>
        <w:rPr>
          <w:rFonts w:eastAsia="Times New Roman"/>
        </w:rPr>
        <w:t>y held-out-pair observations after the cutoff enter evaluation. Cross-quadrant observations are excluded. The cutoff is 29 July 2026 at 15:13:52 UTC. This intersection design prevents both future-to-past leakage and direct catalogue-pair memorisation. It e</w:t>
      </w:r>
      <w:r>
        <w:rPr>
          <w:rFonts w:eastAsia="Times New Roman"/>
        </w:rPr>
        <w:t>xcludes 10,518 cross-quadrant rows, including 776 positives; they enter neither fitting nor held-out scoring.</w:t>
      </w:r>
    </w:p>
    <w:p w:rsidR="00D76933" w:rsidRDefault="00A07137">
      <w:pPr>
        <w:ind w:firstLine="288"/>
      </w:pPr>
      <w:r>
        <w:rPr>
          <w:rFonts w:eastAsia="Times New Roman"/>
        </w:rPr>
        <w:t>Precision, recall, F1, accuracy and FAR are computed from each model's binary predictions. FAR is FP/(FP+TN). PR-AUC and ROC-AUC use continuous de</w:t>
      </w:r>
      <w:r>
        <w:rPr>
          <w:rFonts w:eastAsia="Times New Roman"/>
        </w:rPr>
        <w:t>cision scores, which are more informative than accuracy under class imbalance [4]. For the distance comparator, binary confusion metrics use the fixed 25 km alarm, whereas PR-AUC and ROC-AUC use continuous negative propagated minimum distance. These are tw</w:t>
      </w:r>
      <w:r>
        <w:rPr>
          <w:rFonts w:eastAsia="Times New Roman"/>
        </w:rPr>
        <w:t>o views of the same distance comparator and are labelled separately in the interpretation to avoid treating a binary alarm as a full ranking.</w:t>
      </w:r>
    </w:p>
    <w:p w:rsidR="00D76933" w:rsidRDefault="00D76933">
      <w:pPr>
        <w:sectPr w:rsidR="00D76933">
          <w:footnotePr>
            <w:pos w:val="beneathText"/>
            <w:numFmt w:val="chicago"/>
          </w:footnotePr>
          <w:endnotePr>
            <w:numFmt w:val="decimal"/>
          </w:endnotePr>
          <w:type w:val="continuous"/>
          <w:pgSz w:w="12240" w:h="15840" w:code="1"/>
          <w:pgMar w:top="1411" w:right="1411" w:bottom="1411" w:left="1411" w:header="389" w:footer="360" w:gutter="0"/>
          <w:cols w:num="2" w:space="360"/>
          <w:docGrid w:linePitch="360"/>
        </w:sectPr>
      </w:pPr>
    </w:p>
    <w:p w:rsidR="00D76933" w:rsidRDefault="00A07137">
      <w:pPr>
        <w:keepNext/>
        <w:jc w:val="center"/>
      </w:pPr>
      <w:r>
        <w:rPr>
          <w:noProof/>
          <w:lang w:val="tr-TR" w:eastAsia="tr-TR"/>
        </w:rPr>
        <w:lastRenderedPageBreak/>
        <w:drawing>
          <wp:inline distT="0" distB="0" distL="0" distR="0">
            <wp:extent cx="5715000" cy="2939143"/>
            <wp:effectExtent l="0" t="0" r="0" b="0"/>
            <wp:docPr id="1" name="Picture 1" descr="Auditable TLE-to-metrics pipeline and pair-by-time split with cross-quadrants excluded." title="Stud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design_and_split.png"/>
                    <pic:cNvPicPr/>
                  </pic:nvPicPr>
                  <pic:blipFill>
                    <a:blip r:embed="rId9"/>
                    <a:stretch>
                      <a:fillRect/>
                    </a:stretch>
                  </pic:blipFill>
                  <pic:spPr>
                    <a:xfrm>
                      <a:off x="0" y="0"/>
                      <a:ext cx="5715000" cy="2939143"/>
                    </a:xfrm>
                    <a:prstGeom prst="rect">
                      <a:avLst/>
                    </a:prstGeom>
                  </pic:spPr>
                </pic:pic>
              </a:graphicData>
            </a:graphic>
          </wp:inline>
        </w:drawing>
      </w:r>
    </w:p>
    <w:p w:rsidR="00D76933" w:rsidRDefault="00A07137">
      <w:pPr>
        <w:spacing w:after="60"/>
        <w:jc w:val="center"/>
      </w:pPr>
      <w:r>
        <w:rPr>
          <w:rFonts w:eastAsia="Times New Roman"/>
          <w:sz w:val="18"/>
        </w:rPr>
        <w:t>Fig. 1. Auditable TLE/SGP4 pipeline and leakage-resistant pair/time split. Only the</w:t>
      </w:r>
      <w:r>
        <w:rPr>
          <w:rFonts w:eastAsia="Times New Roman"/>
          <w:sz w:val="18"/>
        </w:rPr>
        <w:t xml:space="preserve"> future held-out-pair quadrant is used for testing; cross-quadrants are excluded.</w:t>
      </w:r>
    </w:p>
    <w:p w:rsidR="00D76933" w:rsidRDefault="00A07137">
      <w:pPr>
        <w:pStyle w:val="Balk11"/>
        <w:keepNext/>
        <w:spacing w:before="100" w:after="20"/>
        <w:jc w:val="left"/>
        <w:outlineLvl w:val="0"/>
      </w:pPr>
      <w:r>
        <w:rPr>
          <w:rFonts w:eastAsia="Times New Roman"/>
          <w:b/>
        </w:rPr>
        <w:t>3. Results</w:t>
      </w:r>
    </w:p>
    <w:p w:rsidR="00D76933" w:rsidRDefault="00A07137">
      <w:pPr>
        <w:pStyle w:val="Balk21"/>
        <w:keepNext/>
        <w:spacing w:before="60" w:after="20"/>
        <w:jc w:val="left"/>
        <w:outlineLvl w:val="1"/>
      </w:pPr>
      <w:r>
        <w:rPr>
          <w:rFonts w:eastAsia="Times New Roman"/>
          <w:i/>
        </w:rPr>
        <w:t>3.1 Dataset and split support</w:t>
      </w:r>
    </w:p>
    <w:p w:rsidR="00D76933" w:rsidRDefault="00A07137">
      <w:pPr>
        <w:ind w:firstLine="288"/>
      </w:pPr>
      <w:r>
        <w:rPr>
          <w:rFonts w:eastAsia="Times New Roman"/>
        </w:rPr>
        <w:t>The training partition contains 5,705 rows from 883 catalogue pairs, including 470 positives. The held-out test partition contains 2,</w:t>
      </w:r>
      <w:r>
        <w:rPr>
          <w:rFonts w:eastAsia="Times New Roman"/>
        </w:rPr>
        <w:t>795 rows from 361 different pairs, including 223 positives across 43 positive pairs and 58 snapshots. No catalogue pair overlaps between train and test, and every test timestamp occurs after every training timestamp. Fig. 2 summarises why the evidence is e</w:t>
      </w:r>
      <w:r>
        <w:rPr>
          <w:rFonts w:eastAsia="Times New Roman"/>
        </w:rPr>
        <w:t>xploratory, and Table 1 summarises the evaluated data.</w:t>
      </w:r>
    </w:p>
    <w:p w:rsidR="00D76933" w:rsidRDefault="00A07137">
      <w:pPr>
        <w:keepNext/>
        <w:jc w:val="center"/>
      </w:pPr>
      <w:r>
        <w:rPr>
          <w:noProof/>
          <w:lang w:val="tr-TR" w:eastAsia="tr-TR"/>
        </w:rPr>
        <w:drawing>
          <wp:inline distT="0" distB="0" distL="0" distR="0">
            <wp:extent cx="5715000" cy="1796143"/>
            <wp:effectExtent l="0" t="0" r="0" b="0"/>
            <wp:docPr id="2" name="Picture 2" descr="Three failed gates: 80.8 percent coverage, 16.84 hour maximum gap, and 8 identical-input bins." title="Acquisition qual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quisition_quality_gates.png"/>
                    <pic:cNvPicPr/>
                  </pic:nvPicPr>
                  <pic:blipFill>
                    <a:blip r:embed="rId10"/>
                    <a:stretch>
                      <a:fillRect/>
                    </a:stretch>
                  </pic:blipFill>
                  <pic:spPr>
                    <a:xfrm>
                      <a:off x="0" y="0"/>
                      <a:ext cx="5715000" cy="1796143"/>
                    </a:xfrm>
                    <a:prstGeom prst="rect">
                      <a:avLst/>
                    </a:prstGeom>
                  </pic:spPr>
                </pic:pic>
              </a:graphicData>
            </a:graphic>
          </wp:inline>
        </w:drawing>
      </w:r>
    </w:p>
    <w:p w:rsidR="00D76933" w:rsidRDefault="00A07137">
      <w:pPr>
        <w:spacing w:after="60"/>
        <w:jc w:val="center"/>
      </w:pPr>
      <w:r>
        <w:rPr>
          <w:rFonts w:eastAsia="Times New Roman"/>
          <w:sz w:val="18"/>
        </w:rPr>
        <w:t>Fig. 2. Frozen acquisition-quality gates. All three shown gates failed; model results are therefore exploratory.</w:t>
      </w:r>
    </w:p>
    <w:p w:rsidR="00D76933" w:rsidRDefault="00A07137">
      <w:pPr>
        <w:keepNext/>
        <w:spacing w:after="20"/>
        <w:jc w:val="left"/>
      </w:pPr>
      <w:r>
        <w:rPr>
          <w:rFonts w:eastAsia="Times New Roman"/>
          <w:sz w:val="18"/>
        </w:rPr>
        <w:t>Table 1. Archive and leakage-resistant split summary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54"/>
        <w:gridCol w:w="2354"/>
        <w:gridCol w:w="2354"/>
        <w:gridCol w:w="2354"/>
      </w:tblGrid>
      <w:tr w:rsidR="00D76933">
        <w:trPr>
          <w:tblHeader/>
          <w:jc w:val="center"/>
        </w:trPr>
        <w:tc>
          <w:tcPr>
            <w:tcW w:w="2354" w:type="dxa"/>
            <w:tcBorders>
              <w:bottom w:val="single" w:sz="6" w:space="0" w:color="000000"/>
            </w:tcBorders>
            <w:shd w:val="clear" w:color="auto" w:fill="DCEAF5"/>
            <w:tcMar>
              <w:top w:w="40" w:type="dxa"/>
              <w:left w:w="70" w:type="dxa"/>
              <w:bottom w:w="40" w:type="dxa"/>
              <w:right w:w="70" w:type="dxa"/>
            </w:tcMar>
            <w:vAlign w:val="center"/>
          </w:tcPr>
          <w:p w:rsidR="00D76933" w:rsidRDefault="00A07137">
            <w:pPr>
              <w:jc w:val="center"/>
            </w:pPr>
            <w:r>
              <w:rPr>
                <w:rFonts w:eastAsia="Times New Roman"/>
                <w:b/>
                <w:sz w:val="16"/>
              </w:rPr>
              <w:t>Partition</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D76933" w:rsidRDefault="00A07137">
            <w:pPr>
              <w:jc w:val="center"/>
            </w:pPr>
            <w:r>
              <w:rPr>
                <w:rFonts w:eastAsia="Times New Roman"/>
                <w:b/>
                <w:sz w:val="16"/>
              </w:rPr>
              <w:t>Rows</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D76933" w:rsidRDefault="00A07137">
            <w:pPr>
              <w:jc w:val="center"/>
            </w:pPr>
            <w:r>
              <w:rPr>
                <w:rFonts w:eastAsia="Times New Roman"/>
                <w:b/>
                <w:sz w:val="16"/>
              </w:rPr>
              <w:t>Positive rows</w:t>
            </w:r>
          </w:p>
        </w:tc>
        <w:tc>
          <w:tcPr>
            <w:tcW w:w="2354" w:type="dxa"/>
            <w:tcBorders>
              <w:bottom w:val="single" w:sz="6" w:space="0" w:color="000000"/>
            </w:tcBorders>
            <w:shd w:val="clear" w:color="auto" w:fill="DCEAF5"/>
            <w:tcMar>
              <w:top w:w="40" w:type="dxa"/>
              <w:left w:w="70" w:type="dxa"/>
              <w:bottom w:w="40" w:type="dxa"/>
              <w:right w:w="70" w:type="dxa"/>
            </w:tcMar>
            <w:vAlign w:val="center"/>
          </w:tcPr>
          <w:p w:rsidR="00D76933" w:rsidRDefault="00A07137">
            <w:pPr>
              <w:jc w:val="center"/>
            </w:pPr>
            <w:r>
              <w:rPr>
                <w:rFonts w:eastAsia="Times New Roman"/>
                <w:b/>
                <w:sz w:val="16"/>
              </w:rPr>
              <w:t>Cata</w:t>
            </w:r>
            <w:r>
              <w:rPr>
                <w:rFonts w:eastAsia="Times New Roman"/>
                <w:b/>
                <w:sz w:val="16"/>
              </w:rPr>
              <w:t>logue pairs</w:t>
            </w:r>
          </w:p>
        </w:tc>
      </w:tr>
      <w:tr w:rsidR="00D76933">
        <w:trPr>
          <w:jc w:val="center"/>
        </w:trPr>
        <w:tc>
          <w:tcPr>
            <w:tcW w:w="2354" w:type="dxa"/>
            <w:tcMar>
              <w:top w:w="40" w:type="dxa"/>
              <w:left w:w="70" w:type="dxa"/>
              <w:bottom w:w="40" w:type="dxa"/>
              <w:right w:w="70" w:type="dxa"/>
            </w:tcMar>
            <w:vAlign w:val="center"/>
          </w:tcPr>
          <w:p w:rsidR="00D76933" w:rsidRDefault="00A07137">
            <w:pPr>
              <w:jc w:val="center"/>
            </w:pPr>
            <w:r>
              <w:rPr>
                <w:rFonts w:eastAsia="Times New Roman"/>
                <w:sz w:val="16"/>
              </w:rPr>
              <w:t>Full corrected history</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19,018</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1,469</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1,656</w:t>
            </w:r>
          </w:p>
        </w:tc>
      </w:tr>
      <w:tr w:rsidR="00D76933">
        <w:trPr>
          <w:jc w:val="center"/>
        </w:trPr>
        <w:tc>
          <w:tcPr>
            <w:tcW w:w="2354" w:type="dxa"/>
            <w:shd w:val="clear" w:color="auto" w:fill="ECEFF1"/>
            <w:tcMar>
              <w:top w:w="40" w:type="dxa"/>
              <w:left w:w="70" w:type="dxa"/>
              <w:bottom w:w="40" w:type="dxa"/>
              <w:right w:w="70" w:type="dxa"/>
            </w:tcMar>
            <w:vAlign w:val="center"/>
          </w:tcPr>
          <w:p w:rsidR="00D76933" w:rsidRDefault="00A07137">
            <w:pPr>
              <w:jc w:val="center"/>
            </w:pPr>
            <w:r>
              <w:rPr>
                <w:rFonts w:eastAsia="Times New Roman"/>
                <w:sz w:val="16"/>
              </w:rPr>
              <w:t>Training</w:t>
            </w:r>
          </w:p>
        </w:tc>
        <w:tc>
          <w:tcPr>
            <w:tcW w:w="2354" w:type="dxa"/>
            <w:shd w:val="clear" w:color="auto" w:fill="ECEFF1"/>
            <w:tcMar>
              <w:top w:w="40" w:type="dxa"/>
              <w:left w:w="70" w:type="dxa"/>
              <w:bottom w:w="40" w:type="dxa"/>
              <w:right w:w="70" w:type="dxa"/>
            </w:tcMar>
            <w:vAlign w:val="center"/>
          </w:tcPr>
          <w:p w:rsidR="00D76933" w:rsidRDefault="00A07137">
            <w:pPr>
              <w:jc w:val="center"/>
            </w:pPr>
            <w:r>
              <w:rPr>
                <w:rFonts w:eastAsia="Times New Roman"/>
                <w:sz w:val="16"/>
              </w:rPr>
              <w:t>5,705</w:t>
            </w:r>
          </w:p>
        </w:tc>
        <w:tc>
          <w:tcPr>
            <w:tcW w:w="2354" w:type="dxa"/>
            <w:shd w:val="clear" w:color="auto" w:fill="ECEFF1"/>
            <w:tcMar>
              <w:top w:w="40" w:type="dxa"/>
              <w:left w:w="70" w:type="dxa"/>
              <w:bottom w:w="40" w:type="dxa"/>
              <w:right w:w="70" w:type="dxa"/>
            </w:tcMar>
            <w:vAlign w:val="center"/>
          </w:tcPr>
          <w:p w:rsidR="00D76933" w:rsidRDefault="00A07137">
            <w:pPr>
              <w:jc w:val="center"/>
            </w:pPr>
            <w:r>
              <w:rPr>
                <w:rFonts w:eastAsia="Times New Roman"/>
                <w:sz w:val="16"/>
              </w:rPr>
              <w:t>470</w:t>
            </w:r>
          </w:p>
        </w:tc>
        <w:tc>
          <w:tcPr>
            <w:tcW w:w="2354" w:type="dxa"/>
            <w:shd w:val="clear" w:color="auto" w:fill="ECEFF1"/>
            <w:tcMar>
              <w:top w:w="40" w:type="dxa"/>
              <w:left w:w="70" w:type="dxa"/>
              <w:bottom w:w="40" w:type="dxa"/>
              <w:right w:w="70" w:type="dxa"/>
            </w:tcMar>
            <w:vAlign w:val="center"/>
          </w:tcPr>
          <w:p w:rsidR="00D76933" w:rsidRDefault="00A07137">
            <w:pPr>
              <w:jc w:val="center"/>
            </w:pPr>
            <w:r>
              <w:rPr>
                <w:rFonts w:eastAsia="Times New Roman"/>
                <w:sz w:val="16"/>
              </w:rPr>
              <w:t>883</w:t>
            </w:r>
          </w:p>
        </w:tc>
      </w:tr>
      <w:tr w:rsidR="00D76933">
        <w:trPr>
          <w:jc w:val="center"/>
        </w:trPr>
        <w:tc>
          <w:tcPr>
            <w:tcW w:w="2354" w:type="dxa"/>
            <w:tcMar>
              <w:top w:w="40" w:type="dxa"/>
              <w:left w:w="70" w:type="dxa"/>
              <w:bottom w:w="40" w:type="dxa"/>
              <w:right w:w="70" w:type="dxa"/>
            </w:tcMar>
            <w:vAlign w:val="center"/>
          </w:tcPr>
          <w:p w:rsidR="00D76933" w:rsidRDefault="00A07137">
            <w:pPr>
              <w:jc w:val="center"/>
            </w:pPr>
            <w:r>
              <w:rPr>
                <w:rFonts w:eastAsia="Times New Roman"/>
                <w:sz w:val="16"/>
              </w:rPr>
              <w:t>Held-out test</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2,795</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223</w:t>
            </w:r>
          </w:p>
        </w:tc>
        <w:tc>
          <w:tcPr>
            <w:tcW w:w="2354" w:type="dxa"/>
            <w:tcMar>
              <w:top w:w="40" w:type="dxa"/>
              <w:left w:w="70" w:type="dxa"/>
              <w:bottom w:w="40" w:type="dxa"/>
              <w:right w:w="70" w:type="dxa"/>
            </w:tcMar>
            <w:vAlign w:val="center"/>
          </w:tcPr>
          <w:p w:rsidR="00D76933" w:rsidRDefault="00A07137">
            <w:pPr>
              <w:jc w:val="center"/>
            </w:pPr>
            <w:r>
              <w:rPr>
                <w:rFonts w:eastAsia="Times New Roman"/>
                <w:sz w:val="16"/>
              </w:rPr>
              <w:t>361</w:t>
            </w:r>
          </w:p>
        </w:tc>
      </w:tr>
    </w:tbl>
    <w:p w:rsidR="00D76933" w:rsidRDefault="00A07137">
      <w:pPr>
        <w:pStyle w:val="Balk21"/>
        <w:keepNext/>
        <w:pageBreakBefore/>
        <w:spacing w:before="60" w:after="20"/>
        <w:jc w:val="left"/>
        <w:outlineLvl w:val="1"/>
      </w:pPr>
      <w:r>
        <w:rPr>
          <w:rFonts w:eastAsia="Times New Roman"/>
          <w:i/>
        </w:rPr>
        <w:t>3.2 Held-out model comparison</w:t>
      </w:r>
    </w:p>
    <w:p w:rsidR="00D76933" w:rsidRDefault="00A07137">
      <w:pPr>
        <w:ind w:firstLine="288"/>
      </w:pPr>
      <w:r>
        <w:rPr>
          <w:rFonts w:eastAsia="Times New Roman"/>
        </w:rPr>
        <w:t xml:space="preserve">Table 2 reports the pair-held-out future performance. The distance comparator achieved the strongest ranking </w:t>
      </w:r>
      <w:r>
        <w:rPr>
          <w:rFonts w:eastAsia="Times New Roman"/>
        </w:rPr>
        <w:t>performance (PR-AUC 0.725; ROC-AUC 0.975). At its 25 km operating point it also achieved the strongest F1 (0.510) and precision (0.754). Among learned models, SVM achieved the highest PR-AUC (0.418), ROC-AUC (0.904) and recall (0.874), while LightGBM achie</w:t>
      </w:r>
      <w:r>
        <w:rPr>
          <w:rFonts w:eastAsia="Times New Roman"/>
        </w:rPr>
        <w:t>ved the highest learned-model F1 (0.438).</w:t>
      </w:r>
    </w:p>
    <w:p w:rsidR="00D76933" w:rsidRDefault="00A07137">
      <w:pPr>
        <w:keepNext/>
        <w:spacing w:after="20"/>
        <w:jc w:val="left"/>
      </w:pPr>
      <w:r>
        <w:rPr>
          <w:rFonts w:eastAsia="Times New Roman"/>
          <w:sz w:val="18"/>
        </w:rPr>
        <w:t>Table 2. Pair-held-out chronological test performance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45"/>
        <w:gridCol w:w="1345"/>
        <w:gridCol w:w="1345"/>
        <w:gridCol w:w="1345"/>
        <w:gridCol w:w="1345"/>
        <w:gridCol w:w="1345"/>
        <w:gridCol w:w="1345"/>
      </w:tblGrid>
      <w:tr w:rsidR="00D76933">
        <w:trPr>
          <w:tblHeader/>
          <w:jc w:val="center"/>
        </w:trPr>
        <w:tc>
          <w:tcPr>
            <w:tcW w:w="3096"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Method</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PR-AUC</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ROC-AUC</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Precision</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Recall</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F1</w:t>
            </w:r>
          </w:p>
        </w:tc>
        <w:tc>
          <w:tcPr>
            <w:tcW w:w="1051" w:type="dxa"/>
            <w:tcBorders>
              <w:bottom w:val="single" w:sz="6" w:space="0" w:color="000000"/>
            </w:tcBorders>
            <w:shd w:val="clear" w:color="auto" w:fill="DCEAF5"/>
            <w:tcMar>
              <w:top w:w="40" w:type="dxa"/>
              <w:left w:w="70" w:type="dxa"/>
              <w:bottom w:w="40" w:type="dxa"/>
              <w:right w:w="70" w:type="dxa"/>
            </w:tcMar>
          </w:tcPr>
          <w:p w:rsidR="00D76933" w:rsidRDefault="00A07137">
            <w:pPr>
              <w:jc w:val="center"/>
            </w:pPr>
            <w:r>
              <w:rPr>
                <w:rFonts w:eastAsia="Times New Roman"/>
                <w:b/>
                <w:sz w:val="15"/>
              </w:rPr>
              <w:t>FAR</w:t>
            </w:r>
          </w:p>
        </w:tc>
      </w:tr>
      <w:tr w:rsidR="00D76933">
        <w:trPr>
          <w:jc w:val="center"/>
        </w:trPr>
        <w:tc>
          <w:tcPr>
            <w:tcW w:w="3096" w:type="dxa"/>
            <w:shd w:val="clear" w:color="auto" w:fill="FCE7D2"/>
            <w:tcMar>
              <w:top w:w="40" w:type="dxa"/>
              <w:left w:w="70" w:type="dxa"/>
              <w:bottom w:w="40" w:type="dxa"/>
              <w:right w:w="70" w:type="dxa"/>
            </w:tcMar>
          </w:tcPr>
          <w:p w:rsidR="00D76933" w:rsidRDefault="00A07137">
            <w:pPr>
              <w:jc w:val="left"/>
            </w:pPr>
            <w:r>
              <w:rPr>
                <w:rFonts w:eastAsia="Times New Roman"/>
                <w:sz w:val="15"/>
              </w:rPr>
              <w:t>Distance comparator</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0.725</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0.975</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0.754</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0.386</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0.510</w:t>
            </w:r>
          </w:p>
        </w:tc>
        <w:tc>
          <w:tcPr>
            <w:tcW w:w="1051" w:type="dxa"/>
            <w:shd w:val="clear" w:color="auto" w:fill="FCE7D2"/>
            <w:tcMar>
              <w:top w:w="40" w:type="dxa"/>
              <w:left w:w="70" w:type="dxa"/>
              <w:bottom w:w="40" w:type="dxa"/>
              <w:right w:w="70" w:type="dxa"/>
            </w:tcMar>
          </w:tcPr>
          <w:p w:rsidR="00D76933" w:rsidRDefault="00A07137">
            <w:pPr>
              <w:jc w:val="center"/>
            </w:pPr>
            <w:r>
              <w:rPr>
                <w:rFonts w:eastAsia="Times New Roman"/>
                <w:sz w:val="15"/>
              </w:rPr>
              <w:t>0.011</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Logistic regression</w:t>
            </w:r>
          </w:p>
        </w:tc>
        <w:tc>
          <w:tcPr>
            <w:tcW w:w="1051" w:type="dxa"/>
            <w:tcMar>
              <w:top w:w="40" w:type="dxa"/>
              <w:left w:w="70" w:type="dxa"/>
              <w:bottom w:w="40" w:type="dxa"/>
              <w:right w:w="70" w:type="dxa"/>
            </w:tcMar>
          </w:tcPr>
          <w:p w:rsidR="00D76933" w:rsidRDefault="00A07137">
            <w:pPr>
              <w:jc w:val="center"/>
            </w:pPr>
            <w:r>
              <w:rPr>
                <w:rFonts w:eastAsia="Times New Roman"/>
                <w:sz w:val="15"/>
              </w:rPr>
              <w:t>0.385</w:t>
            </w:r>
          </w:p>
        </w:tc>
        <w:tc>
          <w:tcPr>
            <w:tcW w:w="1051" w:type="dxa"/>
            <w:tcMar>
              <w:top w:w="40" w:type="dxa"/>
              <w:left w:w="70" w:type="dxa"/>
              <w:bottom w:w="40" w:type="dxa"/>
              <w:right w:w="70" w:type="dxa"/>
            </w:tcMar>
          </w:tcPr>
          <w:p w:rsidR="00D76933" w:rsidRDefault="00A07137">
            <w:pPr>
              <w:jc w:val="center"/>
            </w:pPr>
            <w:r>
              <w:rPr>
                <w:rFonts w:eastAsia="Times New Roman"/>
                <w:sz w:val="15"/>
              </w:rPr>
              <w:t>0.826</w:t>
            </w:r>
          </w:p>
        </w:tc>
        <w:tc>
          <w:tcPr>
            <w:tcW w:w="1051" w:type="dxa"/>
            <w:tcMar>
              <w:top w:w="40" w:type="dxa"/>
              <w:left w:w="70" w:type="dxa"/>
              <w:bottom w:w="40" w:type="dxa"/>
              <w:right w:w="70" w:type="dxa"/>
            </w:tcMar>
          </w:tcPr>
          <w:p w:rsidR="00D76933" w:rsidRDefault="00A07137">
            <w:pPr>
              <w:jc w:val="center"/>
            </w:pPr>
            <w:r>
              <w:rPr>
                <w:rFonts w:eastAsia="Times New Roman"/>
                <w:sz w:val="15"/>
              </w:rPr>
              <w:t>0.170</w:t>
            </w:r>
          </w:p>
        </w:tc>
        <w:tc>
          <w:tcPr>
            <w:tcW w:w="1051" w:type="dxa"/>
            <w:tcMar>
              <w:top w:w="40" w:type="dxa"/>
              <w:left w:w="70" w:type="dxa"/>
              <w:bottom w:w="40" w:type="dxa"/>
              <w:right w:w="70" w:type="dxa"/>
            </w:tcMar>
          </w:tcPr>
          <w:p w:rsidR="00D76933" w:rsidRDefault="00A07137">
            <w:pPr>
              <w:jc w:val="center"/>
            </w:pPr>
            <w:r>
              <w:rPr>
                <w:rFonts w:eastAsia="Times New Roman"/>
                <w:sz w:val="15"/>
              </w:rPr>
              <w:t>0.839</w:t>
            </w:r>
          </w:p>
        </w:tc>
        <w:tc>
          <w:tcPr>
            <w:tcW w:w="1051" w:type="dxa"/>
            <w:tcMar>
              <w:top w:w="40" w:type="dxa"/>
              <w:left w:w="70" w:type="dxa"/>
              <w:bottom w:w="40" w:type="dxa"/>
              <w:right w:w="70" w:type="dxa"/>
            </w:tcMar>
          </w:tcPr>
          <w:p w:rsidR="00D76933" w:rsidRDefault="00A07137">
            <w:pPr>
              <w:jc w:val="center"/>
            </w:pPr>
            <w:r>
              <w:rPr>
                <w:rFonts w:eastAsia="Times New Roman"/>
                <w:sz w:val="15"/>
              </w:rPr>
              <w:t>0.283</w:t>
            </w:r>
          </w:p>
        </w:tc>
        <w:tc>
          <w:tcPr>
            <w:tcW w:w="1051" w:type="dxa"/>
            <w:tcMar>
              <w:top w:w="40" w:type="dxa"/>
              <w:left w:w="70" w:type="dxa"/>
              <w:bottom w:w="40" w:type="dxa"/>
              <w:right w:w="70" w:type="dxa"/>
            </w:tcMar>
          </w:tcPr>
          <w:p w:rsidR="00D76933" w:rsidRDefault="00A07137">
            <w:pPr>
              <w:jc w:val="center"/>
            </w:pPr>
            <w:r>
              <w:rPr>
                <w:rFonts w:eastAsia="Times New Roman"/>
                <w:sz w:val="15"/>
              </w:rPr>
              <w:t>0.355</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Decision tree</w:t>
            </w:r>
          </w:p>
        </w:tc>
        <w:tc>
          <w:tcPr>
            <w:tcW w:w="1051" w:type="dxa"/>
            <w:tcMar>
              <w:top w:w="40" w:type="dxa"/>
              <w:left w:w="70" w:type="dxa"/>
              <w:bottom w:w="40" w:type="dxa"/>
              <w:right w:w="70" w:type="dxa"/>
            </w:tcMar>
          </w:tcPr>
          <w:p w:rsidR="00D76933" w:rsidRDefault="00A07137">
            <w:pPr>
              <w:jc w:val="center"/>
            </w:pPr>
            <w:r>
              <w:rPr>
                <w:rFonts w:eastAsia="Times New Roman"/>
                <w:sz w:val="15"/>
              </w:rPr>
              <w:t>0.137</w:t>
            </w:r>
          </w:p>
        </w:tc>
        <w:tc>
          <w:tcPr>
            <w:tcW w:w="1051" w:type="dxa"/>
            <w:tcMar>
              <w:top w:w="40" w:type="dxa"/>
              <w:left w:w="70" w:type="dxa"/>
              <w:bottom w:w="40" w:type="dxa"/>
              <w:right w:w="70" w:type="dxa"/>
            </w:tcMar>
          </w:tcPr>
          <w:p w:rsidR="00D76933" w:rsidRDefault="00A07137">
            <w:pPr>
              <w:jc w:val="center"/>
            </w:pPr>
            <w:r>
              <w:rPr>
                <w:rFonts w:eastAsia="Times New Roman"/>
                <w:sz w:val="15"/>
              </w:rPr>
              <w:t>0.608</w:t>
            </w:r>
          </w:p>
        </w:tc>
        <w:tc>
          <w:tcPr>
            <w:tcW w:w="1051" w:type="dxa"/>
            <w:tcMar>
              <w:top w:w="40" w:type="dxa"/>
              <w:left w:w="70" w:type="dxa"/>
              <w:bottom w:w="40" w:type="dxa"/>
              <w:right w:w="70" w:type="dxa"/>
            </w:tcMar>
          </w:tcPr>
          <w:p w:rsidR="00D76933" w:rsidRDefault="00A07137">
            <w:pPr>
              <w:jc w:val="center"/>
            </w:pPr>
            <w:r>
              <w:rPr>
                <w:rFonts w:eastAsia="Times New Roman"/>
                <w:sz w:val="15"/>
              </w:rPr>
              <w:t>0.289</w:t>
            </w:r>
          </w:p>
        </w:tc>
        <w:tc>
          <w:tcPr>
            <w:tcW w:w="1051" w:type="dxa"/>
            <w:tcMar>
              <w:top w:w="40" w:type="dxa"/>
              <w:left w:w="70" w:type="dxa"/>
              <w:bottom w:w="40" w:type="dxa"/>
              <w:right w:w="70" w:type="dxa"/>
            </w:tcMar>
          </w:tcPr>
          <w:p w:rsidR="00D76933" w:rsidRDefault="00A07137">
            <w:pPr>
              <w:jc w:val="center"/>
            </w:pPr>
            <w:r>
              <w:rPr>
                <w:rFonts w:eastAsia="Times New Roman"/>
                <w:sz w:val="15"/>
              </w:rPr>
              <w:t>0.274</w:t>
            </w:r>
          </w:p>
        </w:tc>
        <w:tc>
          <w:tcPr>
            <w:tcW w:w="1051" w:type="dxa"/>
            <w:tcMar>
              <w:top w:w="40" w:type="dxa"/>
              <w:left w:w="70" w:type="dxa"/>
              <w:bottom w:w="40" w:type="dxa"/>
              <w:right w:w="70" w:type="dxa"/>
            </w:tcMar>
          </w:tcPr>
          <w:p w:rsidR="00D76933" w:rsidRDefault="00A07137">
            <w:pPr>
              <w:jc w:val="center"/>
            </w:pPr>
            <w:r>
              <w:rPr>
                <w:rFonts w:eastAsia="Times New Roman"/>
                <w:sz w:val="15"/>
              </w:rPr>
              <w:t>0.281</w:t>
            </w:r>
          </w:p>
        </w:tc>
        <w:tc>
          <w:tcPr>
            <w:tcW w:w="1051" w:type="dxa"/>
            <w:tcMar>
              <w:top w:w="40" w:type="dxa"/>
              <w:left w:w="70" w:type="dxa"/>
              <w:bottom w:w="40" w:type="dxa"/>
              <w:right w:w="70" w:type="dxa"/>
            </w:tcMar>
          </w:tcPr>
          <w:p w:rsidR="00D76933" w:rsidRDefault="00A07137">
            <w:pPr>
              <w:jc w:val="center"/>
            </w:pPr>
            <w:r>
              <w:rPr>
                <w:rFonts w:eastAsia="Times New Roman"/>
                <w:sz w:val="15"/>
              </w:rPr>
              <w:t>0.058</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Random forest</w:t>
            </w:r>
          </w:p>
        </w:tc>
        <w:tc>
          <w:tcPr>
            <w:tcW w:w="1051" w:type="dxa"/>
            <w:tcMar>
              <w:top w:w="40" w:type="dxa"/>
              <w:left w:w="70" w:type="dxa"/>
              <w:bottom w:w="40" w:type="dxa"/>
              <w:right w:w="70" w:type="dxa"/>
            </w:tcMar>
          </w:tcPr>
          <w:p w:rsidR="00D76933" w:rsidRDefault="00A07137">
            <w:pPr>
              <w:jc w:val="center"/>
            </w:pPr>
            <w:r>
              <w:rPr>
                <w:rFonts w:eastAsia="Times New Roman"/>
                <w:sz w:val="15"/>
              </w:rPr>
              <w:t>0.412</w:t>
            </w:r>
          </w:p>
        </w:tc>
        <w:tc>
          <w:tcPr>
            <w:tcW w:w="1051" w:type="dxa"/>
            <w:tcMar>
              <w:top w:w="40" w:type="dxa"/>
              <w:left w:w="70" w:type="dxa"/>
              <w:bottom w:w="40" w:type="dxa"/>
              <w:right w:w="70" w:type="dxa"/>
            </w:tcMar>
          </w:tcPr>
          <w:p w:rsidR="00D76933" w:rsidRDefault="00A07137">
            <w:pPr>
              <w:jc w:val="center"/>
            </w:pPr>
            <w:r>
              <w:rPr>
                <w:rFonts w:eastAsia="Times New Roman"/>
                <w:sz w:val="15"/>
              </w:rPr>
              <w:t>0.877</w:t>
            </w:r>
          </w:p>
        </w:tc>
        <w:tc>
          <w:tcPr>
            <w:tcW w:w="1051" w:type="dxa"/>
            <w:tcMar>
              <w:top w:w="40" w:type="dxa"/>
              <w:left w:w="70" w:type="dxa"/>
              <w:bottom w:w="40" w:type="dxa"/>
              <w:right w:w="70" w:type="dxa"/>
            </w:tcMar>
          </w:tcPr>
          <w:p w:rsidR="00D76933" w:rsidRDefault="00A07137">
            <w:pPr>
              <w:jc w:val="center"/>
            </w:pPr>
            <w:r>
              <w:rPr>
                <w:rFonts w:eastAsia="Times New Roman"/>
                <w:sz w:val="15"/>
              </w:rPr>
              <w:t>0.620</w:t>
            </w:r>
          </w:p>
        </w:tc>
        <w:tc>
          <w:tcPr>
            <w:tcW w:w="1051" w:type="dxa"/>
            <w:tcMar>
              <w:top w:w="40" w:type="dxa"/>
              <w:left w:w="70" w:type="dxa"/>
              <w:bottom w:w="40" w:type="dxa"/>
              <w:right w:w="70" w:type="dxa"/>
            </w:tcMar>
          </w:tcPr>
          <w:p w:rsidR="00D76933" w:rsidRDefault="00A07137">
            <w:pPr>
              <w:jc w:val="center"/>
            </w:pPr>
            <w:r>
              <w:rPr>
                <w:rFonts w:eastAsia="Times New Roman"/>
                <w:sz w:val="15"/>
              </w:rPr>
              <w:t>0.197</w:t>
            </w:r>
          </w:p>
        </w:tc>
        <w:tc>
          <w:tcPr>
            <w:tcW w:w="1051" w:type="dxa"/>
            <w:tcMar>
              <w:top w:w="40" w:type="dxa"/>
              <w:left w:w="70" w:type="dxa"/>
              <w:bottom w:w="40" w:type="dxa"/>
              <w:right w:w="70" w:type="dxa"/>
            </w:tcMar>
          </w:tcPr>
          <w:p w:rsidR="00D76933" w:rsidRDefault="00A07137">
            <w:pPr>
              <w:jc w:val="center"/>
            </w:pPr>
            <w:r>
              <w:rPr>
                <w:rFonts w:eastAsia="Times New Roman"/>
                <w:sz w:val="15"/>
              </w:rPr>
              <w:t>0.299</w:t>
            </w:r>
          </w:p>
        </w:tc>
        <w:tc>
          <w:tcPr>
            <w:tcW w:w="1051" w:type="dxa"/>
            <w:tcMar>
              <w:top w:w="40" w:type="dxa"/>
              <w:left w:w="70" w:type="dxa"/>
              <w:bottom w:w="40" w:type="dxa"/>
              <w:right w:w="70" w:type="dxa"/>
            </w:tcMar>
          </w:tcPr>
          <w:p w:rsidR="00D76933" w:rsidRDefault="00A07137">
            <w:pPr>
              <w:jc w:val="center"/>
            </w:pPr>
            <w:r>
              <w:rPr>
                <w:rFonts w:eastAsia="Times New Roman"/>
                <w:sz w:val="15"/>
              </w:rPr>
              <w:t>0.010</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SVM</w:t>
            </w:r>
          </w:p>
        </w:tc>
        <w:tc>
          <w:tcPr>
            <w:tcW w:w="1051" w:type="dxa"/>
            <w:tcMar>
              <w:top w:w="40" w:type="dxa"/>
              <w:left w:w="70" w:type="dxa"/>
              <w:bottom w:w="40" w:type="dxa"/>
              <w:right w:w="70" w:type="dxa"/>
            </w:tcMar>
          </w:tcPr>
          <w:p w:rsidR="00D76933" w:rsidRDefault="00A07137">
            <w:pPr>
              <w:jc w:val="center"/>
            </w:pPr>
            <w:r>
              <w:rPr>
                <w:rFonts w:eastAsia="Times New Roman"/>
                <w:sz w:val="15"/>
              </w:rPr>
              <w:t>0.418</w:t>
            </w:r>
          </w:p>
        </w:tc>
        <w:tc>
          <w:tcPr>
            <w:tcW w:w="1051" w:type="dxa"/>
            <w:tcMar>
              <w:top w:w="40" w:type="dxa"/>
              <w:left w:w="70" w:type="dxa"/>
              <w:bottom w:w="40" w:type="dxa"/>
              <w:right w:w="70" w:type="dxa"/>
            </w:tcMar>
          </w:tcPr>
          <w:p w:rsidR="00D76933" w:rsidRDefault="00A07137">
            <w:pPr>
              <w:jc w:val="center"/>
            </w:pPr>
            <w:r>
              <w:rPr>
                <w:rFonts w:eastAsia="Times New Roman"/>
                <w:sz w:val="15"/>
              </w:rPr>
              <w:t>0.904</w:t>
            </w:r>
          </w:p>
        </w:tc>
        <w:tc>
          <w:tcPr>
            <w:tcW w:w="1051" w:type="dxa"/>
            <w:tcMar>
              <w:top w:w="40" w:type="dxa"/>
              <w:left w:w="70" w:type="dxa"/>
              <w:bottom w:w="40" w:type="dxa"/>
              <w:right w:w="70" w:type="dxa"/>
            </w:tcMar>
          </w:tcPr>
          <w:p w:rsidR="00D76933" w:rsidRDefault="00A07137">
            <w:pPr>
              <w:jc w:val="center"/>
            </w:pPr>
            <w:r>
              <w:rPr>
                <w:rFonts w:eastAsia="Times New Roman"/>
                <w:sz w:val="15"/>
              </w:rPr>
              <w:t>0.265</w:t>
            </w:r>
          </w:p>
        </w:tc>
        <w:tc>
          <w:tcPr>
            <w:tcW w:w="1051" w:type="dxa"/>
            <w:tcMar>
              <w:top w:w="40" w:type="dxa"/>
              <w:left w:w="70" w:type="dxa"/>
              <w:bottom w:w="40" w:type="dxa"/>
              <w:right w:w="70" w:type="dxa"/>
            </w:tcMar>
          </w:tcPr>
          <w:p w:rsidR="00D76933" w:rsidRDefault="00A07137">
            <w:pPr>
              <w:jc w:val="center"/>
            </w:pPr>
            <w:r>
              <w:rPr>
                <w:rFonts w:eastAsia="Times New Roman"/>
                <w:sz w:val="15"/>
              </w:rPr>
              <w:t>0.874</w:t>
            </w:r>
          </w:p>
        </w:tc>
        <w:tc>
          <w:tcPr>
            <w:tcW w:w="1051" w:type="dxa"/>
            <w:tcMar>
              <w:top w:w="40" w:type="dxa"/>
              <w:left w:w="70" w:type="dxa"/>
              <w:bottom w:w="40" w:type="dxa"/>
              <w:right w:w="70" w:type="dxa"/>
            </w:tcMar>
          </w:tcPr>
          <w:p w:rsidR="00D76933" w:rsidRDefault="00A07137">
            <w:pPr>
              <w:jc w:val="center"/>
            </w:pPr>
            <w:r>
              <w:rPr>
                <w:rFonts w:eastAsia="Times New Roman"/>
                <w:sz w:val="15"/>
              </w:rPr>
              <w:t>0.406</w:t>
            </w:r>
          </w:p>
        </w:tc>
        <w:tc>
          <w:tcPr>
            <w:tcW w:w="1051" w:type="dxa"/>
            <w:tcMar>
              <w:top w:w="40" w:type="dxa"/>
              <w:left w:w="70" w:type="dxa"/>
              <w:bottom w:w="40" w:type="dxa"/>
              <w:right w:w="70" w:type="dxa"/>
            </w:tcMar>
          </w:tcPr>
          <w:p w:rsidR="00D76933" w:rsidRDefault="00A07137">
            <w:pPr>
              <w:jc w:val="center"/>
            </w:pPr>
            <w:r>
              <w:rPr>
                <w:rFonts w:eastAsia="Times New Roman"/>
                <w:sz w:val="15"/>
              </w:rPr>
              <w:t>0.211</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XGBoost</w:t>
            </w:r>
          </w:p>
        </w:tc>
        <w:tc>
          <w:tcPr>
            <w:tcW w:w="1051" w:type="dxa"/>
            <w:tcMar>
              <w:top w:w="40" w:type="dxa"/>
              <w:left w:w="70" w:type="dxa"/>
              <w:bottom w:w="40" w:type="dxa"/>
              <w:right w:w="70" w:type="dxa"/>
            </w:tcMar>
          </w:tcPr>
          <w:p w:rsidR="00D76933" w:rsidRDefault="00A07137">
            <w:pPr>
              <w:jc w:val="center"/>
            </w:pPr>
            <w:r>
              <w:rPr>
                <w:rFonts w:eastAsia="Times New Roman"/>
                <w:sz w:val="15"/>
              </w:rPr>
              <w:t>0.367</w:t>
            </w:r>
          </w:p>
        </w:tc>
        <w:tc>
          <w:tcPr>
            <w:tcW w:w="1051" w:type="dxa"/>
            <w:tcMar>
              <w:top w:w="40" w:type="dxa"/>
              <w:left w:w="70" w:type="dxa"/>
              <w:bottom w:w="40" w:type="dxa"/>
              <w:right w:w="70" w:type="dxa"/>
            </w:tcMar>
          </w:tcPr>
          <w:p w:rsidR="00D76933" w:rsidRDefault="00A07137">
            <w:pPr>
              <w:jc w:val="center"/>
            </w:pPr>
            <w:r>
              <w:rPr>
                <w:rFonts w:eastAsia="Times New Roman"/>
                <w:sz w:val="15"/>
              </w:rPr>
              <w:t>0.850</w:t>
            </w:r>
          </w:p>
        </w:tc>
        <w:tc>
          <w:tcPr>
            <w:tcW w:w="1051" w:type="dxa"/>
            <w:tcMar>
              <w:top w:w="40" w:type="dxa"/>
              <w:left w:w="70" w:type="dxa"/>
              <w:bottom w:w="40" w:type="dxa"/>
              <w:right w:w="70" w:type="dxa"/>
            </w:tcMar>
          </w:tcPr>
          <w:p w:rsidR="00D76933" w:rsidRDefault="00A07137">
            <w:pPr>
              <w:jc w:val="center"/>
            </w:pPr>
            <w:r>
              <w:rPr>
                <w:rFonts w:eastAsia="Times New Roman"/>
                <w:sz w:val="15"/>
              </w:rPr>
              <w:t>0.360</w:t>
            </w:r>
          </w:p>
        </w:tc>
        <w:tc>
          <w:tcPr>
            <w:tcW w:w="1051" w:type="dxa"/>
            <w:tcMar>
              <w:top w:w="40" w:type="dxa"/>
              <w:left w:w="70" w:type="dxa"/>
              <w:bottom w:w="40" w:type="dxa"/>
              <w:right w:w="70" w:type="dxa"/>
            </w:tcMar>
          </w:tcPr>
          <w:p w:rsidR="00D76933" w:rsidRDefault="00A07137">
            <w:pPr>
              <w:jc w:val="center"/>
            </w:pPr>
            <w:r>
              <w:rPr>
                <w:rFonts w:eastAsia="Times New Roman"/>
                <w:sz w:val="15"/>
              </w:rPr>
              <w:t>0.439</w:t>
            </w:r>
          </w:p>
        </w:tc>
        <w:tc>
          <w:tcPr>
            <w:tcW w:w="1051" w:type="dxa"/>
            <w:tcMar>
              <w:top w:w="40" w:type="dxa"/>
              <w:left w:w="70" w:type="dxa"/>
              <w:bottom w:w="40" w:type="dxa"/>
              <w:right w:w="70" w:type="dxa"/>
            </w:tcMar>
          </w:tcPr>
          <w:p w:rsidR="00D76933" w:rsidRDefault="00A07137">
            <w:pPr>
              <w:jc w:val="center"/>
            </w:pPr>
            <w:r>
              <w:rPr>
                <w:rFonts w:eastAsia="Times New Roman"/>
                <w:sz w:val="15"/>
              </w:rPr>
              <w:t>0.396</w:t>
            </w:r>
          </w:p>
        </w:tc>
        <w:tc>
          <w:tcPr>
            <w:tcW w:w="1051" w:type="dxa"/>
            <w:tcMar>
              <w:top w:w="40" w:type="dxa"/>
              <w:left w:w="70" w:type="dxa"/>
              <w:bottom w:w="40" w:type="dxa"/>
              <w:right w:w="70" w:type="dxa"/>
            </w:tcMar>
          </w:tcPr>
          <w:p w:rsidR="00D76933" w:rsidRDefault="00A07137">
            <w:pPr>
              <w:jc w:val="center"/>
            </w:pPr>
            <w:r>
              <w:rPr>
                <w:rFonts w:eastAsia="Times New Roman"/>
                <w:sz w:val="15"/>
              </w:rPr>
              <w:t>0.068</w:t>
            </w:r>
          </w:p>
        </w:tc>
      </w:tr>
      <w:tr w:rsidR="00D76933">
        <w:trPr>
          <w:jc w:val="center"/>
        </w:trPr>
        <w:tc>
          <w:tcPr>
            <w:tcW w:w="3096" w:type="dxa"/>
            <w:tcMar>
              <w:top w:w="40" w:type="dxa"/>
              <w:left w:w="70" w:type="dxa"/>
              <w:bottom w:w="40" w:type="dxa"/>
              <w:right w:w="70" w:type="dxa"/>
            </w:tcMar>
          </w:tcPr>
          <w:p w:rsidR="00D76933" w:rsidRDefault="00A07137">
            <w:pPr>
              <w:jc w:val="left"/>
            </w:pPr>
            <w:r>
              <w:rPr>
                <w:rFonts w:eastAsia="Times New Roman"/>
                <w:sz w:val="15"/>
              </w:rPr>
              <w:t>LightGBM</w:t>
            </w:r>
          </w:p>
        </w:tc>
        <w:tc>
          <w:tcPr>
            <w:tcW w:w="1051" w:type="dxa"/>
            <w:tcMar>
              <w:top w:w="40" w:type="dxa"/>
              <w:left w:w="70" w:type="dxa"/>
              <w:bottom w:w="40" w:type="dxa"/>
              <w:right w:w="70" w:type="dxa"/>
            </w:tcMar>
          </w:tcPr>
          <w:p w:rsidR="00D76933" w:rsidRDefault="00A07137">
            <w:pPr>
              <w:jc w:val="center"/>
            </w:pPr>
            <w:r>
              <w:rPr>
                <w:rFonts w:eastAsia="Times New Roman"/>
                <w:sz w:val="15"/>
              </w:rPr>
              <w:t>0.408</w:t>
            </w:r>
          </w:p>
        </w:tc>
        <w:tc>
          <w:tcPr>
            <w:tcW w:w="1051" w:type="dxa"/>
            <w:tcMar>
              <w:top w:w="40" w:type="dxa"/>
              <w:left w:w="70" w:type="dxa"/>
              <w:bottom w:w="40" w:type="dxa"/>
              <w:right w:w="70" w:type="dxa"/>
            </w:tcMar>
          </w:tcPr>
          <w:p w:rsidR="00D76933" w:rsidRDefault="00A07137">
            <w:pPr>
              <w:jc w:val="center"/>
            </w:pPr>
            <w:r>
              <w:rPr>
                <w:rFonts w:eastAsia="Times New Roman"/>
                <w:sz w:val="15"/>
              </w:rPr>
              <w:t>0.876</w:t>
            </w:r>
          </w:p>
        </w:tc>
        <w:tc>
          <w:tcPr>
            <w:tcW w:w="1051" w:type="dxa"/>
            <w:tcMar>
              <w:top w:w="40" w:type="dxa"/>
              <w:left w:w="70" w:type="dxa"/>
              <w:bottom w:w="40" w:type="dxa"/>
              <w:right w:w="70" w:type="dxa"/>
            </w:tcMar>
          </w:tcPr>
          <w:p w:rsidR="00D76933" w:rsidRDefault="00A07137">
            <w:pPr>
              <w:jc w:val="center"/>
            </w:pPr>
            <w:r>
              <w:rPr>
                <w:rFonts w:eastAsia="Times New Roman"/>
                <w:sz w:val="15"/>
              </w:rPr>
              <w:t>0.338</w:t>
            </w:r>
          </w:p>
        </w:tc>
        <w:tc>
          <w:tcPr>
            <w:tcW w:w="1051" w:type="dxa"/>
            <w:tcMar>
              <w:top w:w="40" w:type="dxa"/>
              <w:left w:w="70" w:type="dxa"/>
              <w:bottom w:w="40" w:type="dxa"/>
              <w:right w:w="70" w:type="dxa"/>
            </w:tcMar>
          </w:tcPr>
          <w:p w:rsidR="00D76933" w:rsidRDefault="00A07137">
            <w:pPr>
              <w:jc w:val="center"/>
            </w:pPr>
            <w:r>
              <w:rPr>
                <w:rFonts w:eastAsia="Times New Roman"/>
                <w:sz w:val="15"/>
              </w:rPr>
              <w:t>0.623</w:t>
            </w:r>
          </w:p>
        </w:tc>
        <w:tc>
          <w:tcPr>
            <w:tcW w:w="1051" w:type="dxa"/>
            <w:tcMar>
              <w:top w:w="40" w:type="dxa"/>
              <w:left w:w="70" w:type="dxa"/>
              <w:bottom w:w="40" w:type="dxa"/>
              <w:right w:w="70" w:type="dxa"/>
            </w:tcMar>
          </w:tcPr>
          <w:p w:rsidR="00D76933" w:rsidRDefault="00A07137">
            <w:pPr>
              <w:jc w:val="center"/>
            </w:pPr>
            <w:r>
              <w:rPr>
                <w:rFonts w:eastAsia="Times New Roman"/>
                <w:sz w:val="15"/>
              </w:rPr>
              <w:t>0.438</w:t>
            </w:r>
          </w:p>
        </w:tc>
        <w:tc>
          <w:tcPr>
            <w:tcW w:w="1051" w:type="dxa"/>
            <w:tcMar>
              <w:top w:w="40" w:type="dxa"/>
              <w:left w:w="70" w:type="dxa"/>
              <w:bottom w:w="40" w:type="dxa"/>
              <w:right w:w="70" w:type="dxa"/>
            </w:tcMar>
          </w:tcPr>
          <w:p w:rsidR="00D76933" w:rsidRDefault="00A07137">
            <w:pPr>
              <w:jc w:val="center"/>
            </w:pPr>
            <w:r>
              <w:rPr>
                <w:rFonts w:eastAsia="Times New Roman"/>
                <w:sz w:val="15"/>
              </w:rPr>
              <w:t>0.106</w:t>
            </w:r>
          </w:p>
        </w:tc>
      </w:tr>
    </w:tbl>
    <w:p w:rsidR="00D76933" w:rsidRDefault="00A07137">
      <w:pPr>
        <w:spacing w:after="40"/>
        <w:jc w:val="left"/>
      </w:pPr>
      <w:r>
        <w:rPr>
          <w:rFonts w:eastAsia="Times New Roman"/>
          <w:i/>
          <w:sz w:val="16"/>
        </w:rPr>
        <w:t xml:space="preserve">Note: PR-AUC and </w:t>
      </w:r>
      <w:r>
        <w:rPr>
          <w:rFonts w:eastAsia="Times New Roman"/>
          <w:i/>
          <w:sz w:val="16"/>
        </w:rPr>
        <w:t>ROC-AUC for the distance comparator use continuous -minimum-distance ranking; precision, recall, F1 and FAR use the fixed 25 km alarm.</w:t>
      </w:r>
    </w:p>
    <w:p w:rsidR="00D76933" w:rsidRDefault="00A07137">
      <w:pPr>
        <w:ind w:firstLine="288"/>
      </w:pPr>
      <w:r>
        <w:rPr>
          <w:rFonts w:eastAsia="Times New Roman"/>
        </w:rPr>
        <w:t>The operating trade-offs are substantial. SVM recovered 195 of 223 positives but generated 542 false positives (FAR 0.211</w:t>
      </w:r>
      <w:r>
        <w:rPr>
          <w:rFonts w:eastAsia="Times New Roman"/>
        </w:rPr>
        <w:t>). Logistic Regression recovered 187 positives but generated 912 false positives (FAR 0.355). Random Forest approximately matched the fixed alarm's FAR (0.010 versus 0.011) but recovered only 44 positives, corresponding to recall 0.197. Its lower alarm bur</w:t>
      </w:r>
      <w:r>
        <w:rPr>
          <w:rFonts w:eastAsia="Times New Roman"/>
        </w:rPr>
        <w:t>den therefore arose from missed positives rather than a superior precision-recall trade-off. The fixed alarm produced TP=86, FP=28, FN=137 and TN=2,544.</w:t>
      </w:r>
    </w:p>
    <w:p w:rsidR="00D76933" w:rsidRDefault="00A07137">
      <w:pPr>
        <w:keepNext/>
        <w:jc w:val="center"/>
      </w:pPr>
      <w:r>
        <w:rPr>
          <w:noProof/>
          <w:lang w:val="tr-TR" w:eastAsia="tr-TR"/>
        </w:rPr>
        <w:drawing>
          <wp:inline distT="0" distB="0" distL="0" distR="0">
            <wp:extent cx="5715000" cy="3265714"/>
            <wp:effectExtent l="0" t="0" r="0" b="0"/>
            <wp:docPr id="3" name="Picture 3" descr="PR-AUC, F1 and recall for the distance comparator and six learned models." title="Held-out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_out_model_comparison.png"/>
                    <pic:cNvPicPr/>
                  </pic:nvPicPr>
                  <pic:blipFill>
                    <a:blip r:embed="rId11"/>
                    <a:stretch>
                      <a:fillRect/>
                    </a:stretch>
                  </pic:blipFill>
                  <pic:spPr>
                    <a:xfrm>
                      <a:off x="0" y="0"/>
                      <a:ext cx="5715000" cy="3265714"/>
                    </a:xfrm>
                    <a:prstGeom prst="rect">
                      <a:avLst/>
                    </a:prstGeom>
                  </pic:spPr>
                </pic:pic>
              </a:graphicData>
            </a:graphic>
          </wp:inline>
        </w:drawing>
      </w:r>
    </w:p>
    <w:p w:rsidR="00D76933" w:rsidRDefault="00A07137">
      <w:pPr>
        <w:spacing w:after="60"/>
        <w:jc w:val="center"/>
      </w:pPr>
      <w:r>
        <w:rPr>
          <w:rFonts w:eastAsia="Times New Roman"/>
          <w:sz w:val="18"/>
        </w:rPr>
        <w:t>Fig. 3. Exploratory held-out comparison. The distance row uses continuous distance for PR-AUC and the</w:t>
      </w:r>
      <w:r>
        <w:rPr>
          <w:rFonts w:eastAsia="Times New Roman"/>
          <w:sz w:val="18"/>
        </w:rPr>
        <w:t xml:space="preserve"> fixed 25 km alarm for F1 and recall.</w:t>
      </w:r>
    </w:p>
    <w:p w:rsidR="00D76933" w:rsidRDefault="00D76933">
      <w:pPr>
        <w:sectPr w:rsidR="00D76933">
          <w:footnotePr>
            <w:pos w:val="beneathText"/>
            <w:numFmt w:val="chicago"/>
          </w:footnotePr>
          <w:endnotePr>
            <w:numFmt w:val="decimal"/>
          </w:endnotePr>
          <w:type w:val="continuous"/>
          <w:pgSz w:w="12240" w:h="15840" w:code="1"/>
          <w:pgMar w:top="1411" w:right="1411" w:bottom="1411" w:left="1411" w:header="389" w:footer="360" w:gutter="0"/>
          <w:cols w:space="360"/>
          <w:docGrid w:linePitch="360"/>
        </w:sectPr>
      </w:pPr>
    </w:p>
    <w:p w:rsidR="00D76933" w:rsidRDefault="00A07137">
      <w:pPr>
        <w:pStyle w:val="Balk11"/>
        <w:keepNext/>
        <w:spacing w:before="100" w:after="20"/>
        <w:jc w:val="left"/>
        <w:outlineLvl w:val="0"/>
      </w:pPr>
      <w:r>
        <w:rPr>
          <w:rFonts w:eastAsia="Times New Roman"/>
          <w:b/>
        </w:rPr>
        <w:t>4. Discussion</w:t>
      </w:r>
    </w:p>
    <w:p w:rsidR="00D76933" w:rsidRDefault="00A07137">
      <w:pPr>
        <w:pStyle w:val="Balk21"/>
        <w:keepNext/>
        <w:spacing w:before="60" w:after="20"/>
        <w:jc w:val="left"/>
        <w:outlineLvl w:val="1"/>
      </w:pPr>
      <w:r>
        <w:rPr>
          <w:rFonts w:eastAsia="Times New Roman"/>
          <w:i/>
        </w:rPr>
        <w:t>4.1 What the negative result establishes</w:t>
      </w:r>
    </w:p>
    <w:p w:rsidR="00D76933" w:rsidRDefault="00A07137">
      <w:pPr>
        <w:ind w:firstLine="288"/>
      </w:pPr>
      <w:r>
        <w:rPr>
          <w:rFonts w:eastAsia="Times New Roman"/>
        </w:rPr>
        <w:t xml:space="preserve">The exploratory results are inconsistent with the initially expected advantage of the learned models. They do not demonstrate reduced </w:t>
      </w:r>
      <w:r>
        <w:rPr>
          <w:rFonts w:eastAsia="Times New Roman"/>
        </w:rPr>
        <w:t>false alarms at non-inferior recall, and they do not establish higher adaptability. The pre-specified confirmatory adaptability analysis was not reached after the evidence gates failed. This wording is deliberately narrower than claiming that machine learn</w:t>
      </w:r>
      <w:r>
        <w:rPr>
          <w:rFonts w:eastAsia="Times New Roman"/>
        </w:rPr>
        <w:t xml:space="preserve">ing is universally inferior. The archive failed acquisition-quality gates, and the test covers one frozen 75-object cohort over approximately ten days. The defensible conclusion is that the hypothesis was not supported under this dataset, proxy target and </w:t>
      </w:r>
      <w:r>
        <w:rPr>
          <w:rFonts w:eastAsia="Times New Roman"/>
        </w:rPr>
        <w:t>evaluation protocol.</w:t>
      </w:r>
    </w:p>
    <w:p w:rsidR="00D76933" w:rsidRDefault="00A07137">
      <w:pPr>
        <w:ind w:firstLine="288"/>
      </w:pPr>
      <w:r>
        <w:rPr>
          <w:rFonts w:eastAsia="Times New Roman"/>
        </w:rPr>
        <w:t>The result also reflects an important asymmetry in the task. The proxy label directly contains future propagated minimum distance. The distance comparator ranks rows using that same target component, whereas learned models are intentio</w:t>
      </w:r>
      <w:r>
        <w:rPr>
          <w:rFonts w:eastAsia="Times New Roman"/>
        </w:rPr>
        <w:t>nally denied future TCA-derived information and must infer future severity from six snapshot-state variables. The comparator is consequently a stringent target-component control, not independent collision ground truth. Its advantage does not prove that a 2</w:t>
      </w:r>
      <w:r>
        <w:rPr>
          <w:rFonts w:eastAsia="Times New Roman"/>
        </w:rPr>
        <w:t>5 km alarm is operationally optimal.</w:t>
      </w:r>
    </w:p>
    <w:p w:rsidR="00D76933" w:rsidRDefault="00A07137">
      <w:pPr>
        <w:ind w:firstLine="288"/>
      </w:pPr>
      <w:r>
        <w:rPr>
          <w:rFonts w:eastAsia="Times New Roman"/>
        </w:rPr>
        <w:t>This asymmetry is scientifically useful because it exposes how target construction and feature availability shape apparent model performance. Adding future minimum distance or TCA-relative velocity to the learned featur</w:t>
      </w:r>
      <w:r>
        <w:rPr>
          <w:rFonts w:eastAsia="Times New Roman"/>
        </w:rPr>
        <w:t>es would make the classification easier but would reconstruct the deterministic label and create target leakage. A weaker random-row evaluation could similarly inflate results by repeating pairs and adjacent snapshots across partitions. The lower scores in</w:t>
      </w:r>
      <w:r>
        <w:rPr>
          <w:rFonts w:eastAsia="Times New Roman"/>
        </w:rPr>
        <w:t xml:space="preserve"> this paper are therefore a consequence of a more realistic generalisation question.</w:t>
      </w:r>
    </w:p>
    <w:p w:rsidR="00D76933" w:rsidRDefault="00A07137">
      <w:pPr>
        <w:pStyle w:val="Balk21"/>
        <w:keepNext/>
        <w:spacing w:before="60" w:after="20"/>
        <w:jc w:val="left"/>
        <w:outlineLvl w:val="1"/>
      </w:pPr>
      <w:r>
        <w:rPr>
          <w:rFonts w:eastAsia="Times New Roman"/>
          <w:i/>
        </w:rPr>
        <w:t>4.2 Limitations and future work</w:t>
      </w:r>
    </w:p>
    <w:p w:rsidR="00D76933" w:rsidRDefault="00A07137">
      <w:pPr>
        <w:ind w:firstLine="288"/>
      </w:pPr>
      <w:r>
        <w:rPr>
          <w:rFonts w:eastAsia="Times New Roman"/>
        </w:rPr>
        <w:t>First, 23 planned snapshot slots were missing, producing inadequate coverage and a 16.844 h maximum gap. Second, TLE/SGP4 uncertainty is no</w:t>
      </w:r>
      <w:r>
        <w:rPr>
          <w:rFonts w:eastAsia="Times New Roman"/>
        </w:rPr>
        <w:t>t represented by covariance propagation. Third, the deterministic geometry/velocity target is not observed collision outcome or probability of collision. Fourth, observations sharing objects and neighbouring times remain correlated even after pair/time sep</w:t>
      </w:r>
      <w:r>
        <w:rPr>
          <w:rFonts w:eastAsia="Times New Roman"/>
        </w:rPr>
        <w:t>aration. Fifth, the exploratory comparison does not supply confirmatory bootstrap intervals or the pre-specified future-block adaptability test.</w:t>
      </w:r>
    </w:p>
    <w:p w:rsidR="00D76933" w:rsidRDefault="00A07137">
      <w:pPr>
        <w:ind w:firstLine="288"/>
      </w:pPr>
      <w:r>
        <w:rPr>
          <w:rFonts w:eastAsia="Times New Roman"/>
        </w:rPr>
        <w:t>Future work should retain the frozen pair/time split logic while using longer, independently collected archives</w:t>
      </w:r>
      <w:r>
        <w:rPr>
          <w:rFonts w:eastAsia="Times New Roman"/>
        </w:rPr>
        <w:t xml:space="preserve"> and targets closer to operational decision making. Validated conjunction data messages, covariance, hard-body radii, manoeuvre context and resolved outcomes would permit a more meaningful assessment [3]. Model calibration and threshold selection should re</w:t>
      </w:r>
      <w:r>
        <w:rPr>
          <w:rFonts w:eastAsia="Times New Roman"/>
        </w:rPr>
        <w:t>main confined to training/validation data, and any synthetic augmentation should be restricted to training data after the real test partition has been frozen.</w:t>
      </w:r>
    </w:p>
    <w:p w:rsidR="00D76933" w:rsidRDefault="00A07137">
      <w:pPr>
        <w:pStyle w:val="Balk11"/>
        <w:keepNext/>
        <w:spacing w:before="100" w:after="20"/>
        <w:jc w:val="left"/>
        <w:outlineLvl w:val="0"/>
      </w:pPr>
      <w:r>
        <w:rPr>
          <w:rFonts w:eastAsia="Times New Roman"/>
          <w:b/>
        </w:rPr>
        <w:t>5. Reproducibility and open-source artifacts</w:t>
      </w:r>
    </w:p>
    <w:p w:rsidR="00D76933" w:rsidRDefault="00A07137">
      <w:pPr>
        <w:ind w:firstLine="288"/>
      </w:pPr>
      <w:r>
        <w:rPr>
          <w:rFonts w:eastAsia="Times New Roman"/>
        </w:rPr>
        <w:t>The implementation, frozen experiment configurations</w:t>
      </w:r>
      <w:r>
        <w:rPr>
          <w:rFonts w:eastAsia="Times New Roman"/>
        </w:rPr>
        <w:t>, acquisition manifests, corrected-TCA resimulation flow, split logic, model comparison and figure-generation code are published under the MIT License at https://github.com/Mustafaisa027/space-debris-ml-simulation. The exploratory manifest marks claim_elig</w:t>
      </w:r>
      <w:r>
        <w:rPr>
          <w:rFonts w:eastAsia="Times New Roman"/>
        </w:rPr>
        <w:t>ible=false and binds outputs to the evaluated history and source revision. The repository includes automated tests covering propagation, target and feature boundaries, archive integrity, split leakage and evidence gates.</w:t>
      </w:r>
    </w:p>
    <w:p w:rsidR="00D76933" w:rsidRDefault="00A07137">
      <w:pPr>
        <w:pStyle w:val="Balk11"/>
        <w:keepNext/>
        <w:spacing w:before="100" w:after="20"/>
        <w:jc w:val="left"/>
        <w:outlineLvl w:val="0"/>
      </w:pPr>
      <w:r>
        <w:rPr>
          <w:rFonts w:eastAsia="Times New Roman"/>
          <w:b/>
        </w:rPr>
        <w:t>6. Conclusions</w:t>
      </w:r>
    </w:p>
    <w:p w:rsidR="00D76933" w:rsidRDefault="00A07137">
      <w:pPr>
        <w:ind w:firstLine="288"/>
      </w:pPr>
      <w:r>
        <w:rPr>
          <w:rFonts w:eastAsia="Times New Roman"/>
        </w:rPr>
        <w:t>This work provides a</w:t>
      </w:r>
      <w:r>
        <w:rPr>
          <w:rFonts w:eastAsia="Times New Roman"/>
        </w:rPr>
        <w:t xml:space="preserve">n auditable, leakage-resistant framework for comparing classifiers in public TLE/SGP4 conjunction screening. On later observations of unseen catalogue pairs, SVM maximised learned-model recall and PR-AUC, while LightGBM maximised learned-model F1. Neither </w:t>
      </w:r>
      <w:r>
        <w:rPr>
          <w:rFonts w:eastAsia="Times New Roman"/>
        </w:rPr>
        <w:t>surpassed the target-aligned distance comparator overall. The initially stated hypothesis of superior machine-learning false-alarm advantage was therefore not supported by the exploratory evidence. The principal result is a transparent negative finding and</w:t>
      </w:r>
      <w:r>
        <w:rPr>
          <w:rFonts w:eastAsia="Times New Roman"/>
        </w:rPr>
        <w:t xml:space="preserve"> a reproducible evaluation design that clarifies the consequences of leakage control, target definition and comparator choice. The adaptability hypothesis remains unconfirmed rather than disproved.</w:t>
      </w:r>
    </w:p>
    <w:p w:rsidR="00D76933" w:rsidRDefault="00A07137">
      <w:pPr>
        <w:pStyle w:val="Balk11"/>
        <w:keepNext/>
        <w:spacing w:before="100" w:after="20"/>
        <w:jc w:val="left"/>
        <w:outlineLvl w:val="0"/>
      </w:pPr>
      <w:r>
        <w:rPr>
          <w:rFonts w:eastAsia="Times New Roman"/>
          <w:b/>
        </w:rPr>
        <w:t>Declaration on the use of generative AI and AI-assisted te</w:t>
      </w:r>
      <w:r>
        <w:rPr>
          <w:rFonts w:eastAsia="Times New Roman"/>
          <w:b/>
        </w:rPr>
        <w:t>chnologies</w:t>
      </w:r>
    </w:p>
    <w:p w:rsidR="00D76933" w:rsidRDefault="00A07137">
      <w:r>
        <w:rPr>
          <w:rFonts w:eastAsia="Times New Roman"/>
        </w:rPr>
        <w:t>OpenAI Codex was used to assist with language editing, document organisation and formatting. The author is responsible for reviewing and verifying all scientific methods, numerical results, interpretations, references and final wording before su</w:t>
      </w:r>
      <w:r>
        <w:rPr>
          <w:rFonts w:eastAsia="Times New Roman"/>
        </w:rPr>
        <w:t>bmission.</w:t>
      </w:r>
    </w:p>
    <w:p w:rsidR="00D76933" w:rsidRDefault="00A07137">
      <w:pPr>
        <w:pStyle w:val="Balk11"/>
        <w:keepNext/>
        <w:spacing w:before="100" w:after="20"/>
        <w:jc w:val="left"/>
        <w:outlineLvl w:val="0"/>
      </w:pPr>
      <w:r>
        <w:rPr>
          <w:rFonts w:eastAsia="Times New Roman"/>
          <w:b/>
        </w:rPr>
        <w:t>References</w:t>
      </w:r>
    </w:p>
    <w:p w:rsidR="00D76933" w:rsidRDefault="00A07137">
      <w:pPr>
        <w:spacing w:after="20"/>
        <w:ind w:left="259" w:hanging="259"/>
      </w:pPr>
      <w:r>
        <w:rPr>
          <w:rFonts w:eastAsia="Times New Roman"/>
          <w:sz w:val="18"/>
        </w:rPr>
        <w:t>[1] D.A. Vallado, P. Crawford, R. Hujsak, T.S. Kelso, Revisiting Spacetrack Report #3, AIAA/AAS Astrodynamics Specialist Conference, AIAA 2006-6753, 2006. https://doi.org/10.2514/6.2006-6753.</w:t>
      </w:r>
    </w:p>
    <w:p w:rsidR="00D76933" w:rsidRDefault="00A07137">
      <w:pPr>
        <w:spacing w:after="20"/>
        <w:ind w:left="259" w:hanging="259"/>
      </w:pPr>
      <w:r>
        <w:rPr>
          <w:rFonts w:eastAsia="Times New Roman"/>
          <w:sz w:val="18"/>
        </w:rPr>
        <w:t xml:space="preserve">[2] S. Alfano, Determining satellite close </w:t>
      </w:r>
      <w:r>
        <w:rPr>
          <w:rFonts w:eastAsia="Times New Roman"/>
          <w:sz w:val="18"/>
        </w:rPr>
        <w:t>approaches, Part II, Journal of the Astronautical Sciences 42(2) (1994) 143-152.</w:t>
      </w:r>
    </w:p>
    <w:p w:rsidR="00D76933" w:rsidRDefault="00A07137">
      <w:pPr>
        <w:spacing w:after="20"/>
        <w:ind w:left="259" w:hanging="259"/>
      </w:pPr>
      <w:r>
        <w:rPr>
          <w:rFonts w:eastAsia="Times New Roman"/>
          <w:sz w:val="18"/>
        </w:rPr>
        <w:t>[3] 18th Space Control Squadron, Spaceflight Safety Handbook for Satellite Operators, Version 1.5, 2020.</w:t>
      </w:r>
    </w:p>
    <w:p w:rsidR="00D76933" w:rsidRDefault="00A07137">
      <w:pPr>
        <w:spacing w:after="20"/>
        <w:ind w:left="259" w:hanging="259"/>
      </w:pPr>
      <w:r>
        <w:rPr>
          <w:rFonts w:eastAsia="Times New Roman"/>
          <w:sz w:val="18"/>
        </w:rPr>
        <w:t xml:space="preserve">[4] J. Davis, M. Goadrich, The relationship between Precision-Recall </w:t>
      </w:r>
      <w:r>
        <w:rPr>
          <w:rFonts w:eastAsia="Times New Roman"/>
          <w:sz w:val="18"/>
        </w:rPr>
        <w:t>and ROC curves, Proceedings of the 23rd International Conference on Machine Learning (2006) 233-240. https://doi.org/10.1145/1143844.1143874.</w:t>
      </w:r>
    </w:p>
    <w:p w:rsidR="00D76933" w:rsidRDefault="00A07137">
      <w:pPr>
        <w:spacing w:after="20"/>
        <w:ind w:left="259" w:hanging="259"/>
      </w:pPr>
      <w:r>
        <w:rPr>
          <w:rFonts w:eastAsia="Times New Roman"/>
          <w:sz w:val="18"/>
        </w:rPr>
        <w:t>[5] L. Breiman, Random forests, Machine Learning 45 (2001) 5-32. https://doi.org/10.1023/A:1010933404324.</w:t>
      </w:r>
    </w:p>
    <w:p w:rsidR="00D76933" w:rsidRDefault="00A07137">
      <w:pPr>
        <w:spacing w:after="20"/>
        <w:ind w:left="259" w:hanging="259"/>
      </w:pPr>
      <w:r>
        <w:rPr>
          <w:rFonts w:eastAsia="Times New Roman"/>
          <w:sz w:val="18"/>
        </w:rPr>
        <w:t>[6] C. C</w:t>
      </w:r>
      <w:r>
        <w:rPr>
          <w:rFonts w:eastAsia="Times New Roman"/>
          <w:sz w:val="18"/>
        </w:rPr>
        <w:t>ortes, V. Vapnik, Support-vector networks, Machine Learning 20 (1995) 273-297. https://doi.org/10.1007/BF00994018.</w:t>
      </w:r>
    </w:p>
    <w:p w:rsidR="00D76933" w:rsidRDefault="00A07137">
      <w:pPr>
        <w:spacing w:after="20"/>
        <w:ind w:left="259" w:hanging="259"/>
      </w:pPr>
      <w:r>
        <w:rPr>
          <w:rFonts w:eastAsia="Times New Roman"/>
          <w:sz w:val="18"/>
        </w:rPr>
        <w:t xml:space="preserve">[7] T. Chen, C. Guestrin, XGBoost: A scalable tree boosting system, Proceedings of the 22nd ACM SIGKDD International Conference on Knowledge </w:t>
      </w:r>
      <w:r>
        <w:rPr>
          <w:rFonts w:eastAsia="Times New Roman"/>
          <w:sz w:val="18"/>
        </w:rPr>
        <w:t>Discovery and Data Mining (2016) 785-794. https://doi.org/10.1145/2939672.2939785.</w:t>
      </w:r>
    </w:p>
    <w:p w:rsidR="00D76933" w:rsidRDefault="00A07137">
      <w:pPr>
        <w:spacing w:after="20"/>
        <w:ind w:left="259" w:hanging="259"/>
      </w:pPr>
      <w:r>
        <w:rPr>
          <w:rFonts w:eastAsia="Times New Roman"/>
          <w:sz w:val="18"/>
        </w:rPr>
        <w:t>[8] G. Ke, Q. Meng, T. Finley, T. Wang, W. Chen, W. Ma, Q. Ye, T.-Y. Liu, LightGBM: A highly efficient gradient boosting decision tree, Advances in Neural Information Proces</w:t>
      </w:r>
      <w:r>
        <w:rPr>
          <w:rFonts w:eastAsia="Times New Roman"/>
          <w:sz w:val="18"/>
        </w:rPr>
        <w:t>sing Systems 30 (2017) 3146-3154.</w:t>
      </w:r>
    </w:p>
    <w:p w:rsidR="00D76933" w:rsidRDefault="00A07137">
      <w:pPr>
        <w:spacing w:after="20"/>
        <w:ind w:left="259" w:hanging="259"/>
      </w:pPr>
      <w:r>
        <w:rPr>
          <w:rFonts w:eastAsia="Times New Roman"/>
          <w:sz w:val="18"/>
        </w:rPr>
        <w:t>[9] European Space Agency, ESA Space Environment Report 2025, Issue 9, 2025. https://www.esa.int/Space_Safety/Space_Debris/ESA_Space_Environment_Report_2025.</w:t>
      </w:r>
    </w:p>
    <w:p w:rsidR="00D76933" w:rsidRDefault="00A07137">
      <w:pPr>
        <w:spacing w:after="20"/>
        <w:ind w:left="259" w:hanging="259"/>
      </w:pPr>
      <w:r>
        <w:rPr>
          <w:rFonts w:eastAsia="Times New Roman"/>
          <w:sz w:val="18"/>
        </w:rPr>
        <w:t>[10] CelesTrak, Current GP Element Sets and GP Data Formats, acc</w:t>
      </w:r>
      <w:r>
        <w:rPr>
          <w:rFonts w:eastAsia="Times New Roman"/>
          <w:sz w:val="18"/>
        </w:rPr>
        <w:t>essed 28 August 2026. https://celestrak.org/NORAD/documentation/gp-data-formats.php.</w:t>
      </w:r>
    </w:p>
    <w:p w:rsidR="00D76933" w:rsidRDefault="00A07137">
      <w:pPr>
        <w:spacing w:after="20"/>
        <w:ind w:left="259" w:hanging="259"/>
      </w:pPr>
      <w:r>
        <w:rPr>
          <w:rFonts w:eastAsia="Times New Roman"/>
          <w:sz w:val="18"/>
        </w:rPr>
        <w:t>[11] Space-Track.org, General Perturbations data service and documentation, accessed 28 August 2026. https://www.space-track.org.</w:t>
      </w:r>
    </w:p>
    <w:p w:rsidR="00D76933" w:rsidRDefault="00A07137">
      <w:pPr>
        <w:spacing w:after="20"/>
        <w:ind w:left="259" w:hanging="259"/>
      </w:pPr>
      <w:r>
        <w:rPr>
          <w:rFonts w:eastAsia="Times New Roman"/>
          <w:sz w:val="18"/>
        </w:rPr>
        <w:t xml:space="preserve">[12] F. Pedregosa et al., Scikit-learn: </w:t>
      </w:r>
      <w:r>
        <w:rPr>
          <w:rFonts w:eastAsia="Times New Roman"/>
          <w:sz w:val="18"/>
        </w:rPr>
        <w:t>Machine Learning in Python, Journal of Machine Learning Research 12 (2011) 2825-2830.</w:t>
      </w:r>
    </w:p>
    <w:p w:rsidR="00D76933" w:rsidRDefault="00A07137">
      <w:pPr>
        <w:spacing w:after="20"/>
        <w:ind w:left="259" w:hanging="259"/>
      </w:pPr>
      <w:r>
        <w:rPr>
          <w:rFonts w:eastAsia="Times New Roman"/>
          <w:sz w:val="18"/>
        </w:rPr>
        <w:t>[13] F.R. Hoots, L.L. Crawford, R.L. Roehrich, An analytic method to determine future close approaches between satellites, Celestial Mechanics 33 (1984) 143-158. https://</w:t>
      </w:r>
      <w:r>
        <w:rPr>
          <w:rFonts w:eastAsia="Times New Roman"/>
          <w:sz w:val="18"/>
        </w:rPr>
        <w:t>doi.org/10.1007/BF01234152.</w:t>
      </w:r>
    </w:p>
    <w:sectPr w:rsidR="00D76933" w:rsidSect="007B07EA">
      <w:footnotePr>
        <w:pos w:val="beneathText"/>
        <w:numFmt w:val="chicago"/>
      </w:footnotePr>
      <w:endnotePr>
        <w:numFmt w:val="decimal"/>
      </w:endnotePr>
      <w:type w:val="continuous"/>
      <w:pgSz w:w="12240" w:h="15840" w:code="1"/>
      <w:pgMar w:top="1411" w:right="1411" w:bottom="1411" w:left="1411" w:header="389"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B41" w:rsidRDefault="00CF1B41" w:rsidP="007B07EA">
      <w:r>
        <w:separator/>
      </w:r>
    </w:p>
  </w:endnote>
  <w:endnote w:type="continuationSeparator" w:id="0">
    <w:p w:rsidR="00CF1B41" w:rsidRDefault="00CF1B41" w:rsidP="007B0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933" w:rsidRDefault="00D76933">
    <w:pPr>
      <w:pStyle w:val="AltBilgi"/>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09"/>
      <w:gridCol w:w="4709"/>
    </w:tblGrid>
    <w:tr w:rsidR="00D76933">
      <w:trPr>
        <w:jc w:val="center"/>
      </w:trPr>
      <w:tc>
        <w:tcPr>
          <w:tcW w:w="4709" w:type="dxa"/>
          <w:tcMar>
            <w:top w:w="0" w:type="dxa"/>
            <w:left w:w="0" w:type="dxa"/>
            <w:bottom w:w="0" w:type="dxa"/>
            <w:right w:w="0" w:type="dxa"/>
          </w:tcMar>
        </w:tcPr>
        <w:p w:rsidR="00D76933" w:rsidRDefault="00A07137">
          <w:pPr>
            <w:jc w:val="left"/>
          </w:pPr>
          <w:r>
            <w:rPr>
              <w:rFonts w:eastAsia="Times New Roman"/>
              <w:sz w:val="18"/>
            </w:rPr>
            <w:t>IAC-26-A6.IP.6</w:t>
          </w:r>
        </w:p>
      </w:tc>
      <w:tc>
        <w:tcPr>
          <w:tcW w:w="4709" w:type="dxa"/>
          <w:tcMar>
            <w:top w:w="0" w:type="dxa"/>
            <w:left w:w="0" w:type="dxa"/>
            <w:bottom w:w="0" w:type="dxa"/>
            <w:right w:w="0" w:type="dxa"/>
          </w:tcMar>
        </w:tcPr>
        <w:p w:rsidR="00D76933" w:rsidRDefault="00A07137">
          <w:pPr>
            <w:jc w:val="right"/>
          </w:pPr>
          <w:r>
            <w:rPr>
              <w:rFonts w:eastAsia="Times New Roman"/>
              <w:sz w:val="18"/>
            </w:rPr>
            <w:t xml:space="preserve">Page </w:t>
          </w: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noProof/>
              <w:sz w:val="18"/>
            </w:rPr>
            <w:t>3</w:t>
          </w:r>
          <w:r>
            <w:rPr>
              <w:rFonts w:eastAsia="Times New Roman"/>
              <w:sz w:val="18"/>
            </w:rPr>
            <w:fldChar w:fldCharType="end"/>
          </w:r>
          <w:r>
            <w:rPr>
              <w:rFonts w:eastAsia="Times New Roman"/>
              <w:sz w:val="18"/>
            </w:rPr>
            <w:t xml:space="preserve"> of </w:t>
          </w:r>
          <w:r>
            <w:rPr>
              <w:rFonts w:eastAsia="Times New Roman"/>
              <w:sz w:val="18"/>
            </w:rPr>
            <w:fldChar w:fldCharType="begin"/>
          </w:r>
          <w:r>
            <w:rPr>
              <w:rFonts w:eastAsia="Times New Roman"/>
              <w:sz w:val="18"/>
            </w:rPr>
            <w:instrText xml:space="preserve"> NUMPAGES </w:instrText>
          </w:r>
          <w:r>
            <w:rPr>
              <w:rFonts w:eastAsia="Times New Roman"/>
              <w:sz w:val="18"/>
            </w:rPr>
            <w:fldChar w:fldCharType="separate"/>
          </w:r>
          <w:r>
            <w:rPr>
              <w:rFonts w:eastAsia="Times New Roman"/>
              <w:noProof/>
              <w:sz w:val="18"/>
            </w:rPr>
            <w:t>3</w:t>
          </w:r>
          <w:r>
            <w:rPr>
              <w:rFonts w:eastAsia="Times New Roman"/>
              <w:sz w:val="18"/>
            </w:rP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B41" w:rsidRDefault="00CF1B41" w:rsidP="007B07EA">
      <w:r>
        <w:separator/>
      </w:r>
    </w:p>
  </w:footnote>
  <w:footnote w:type="continuationSeparator" w:id="0">
    <w:p w:rsidR="00CF1B41" w:rsidRDefault="00CF1B41" w:rsidP="007B07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933" w:rsidRDefault="00A07137">
    <w:pPr>
      <w:pStyle w:val="stBilgi"/>
      <w:jc w:val="center"/>
    </w:pPr>
    <w:r>
      <w:rPr>
        <w:rFonts w:eastAsia="Times New Roman"/>
        <w:sz w:val="16"/>
      </w:rPr>
      <w:t>77th International Astronautical Congress (IAC 2026), Antalya, Türkiye, 5-9 Oct 2026.</w:t>
    </w:r>
    <w:r>
      <w:rPr>
        <w:rFonts w:eastAsia="Times New Roman"/>
        <w:sz w:val="16"/>
      </w:rPr>
      <w:br/>
      <w:t>Copyright ©2026 by Mustafa İsa Oruçtutan. Published by the IAF, with permission and released to the IAF to publish in all forms.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5007A"/>
    <w:multiLevelType w:val="hybridMultilevel"/>
    <w:tmpl w:val="A4BE8892"/>
    <w:lvl w:ilvl="0" w:tplc="ECC00050">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F13902"/>
    <w:multiLevelType w:val="hybridMultilevel"/>
    <w:tmpl w:val="8056D940"/>
    <w:lvl w:ilvl="0" w:tplc="CEBA7016">
      <w:start w:val="1"/>
      <w:numFmt w:val="decimal"/>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 w15:restartNumberingAfterBreak="0">
    <w:nsid w:val="39122E60"/>
    <w:multiLevelType w:val="hybridMultilevel"/>
    <w:tmpl w:val="47E8F7F2"/>
    <w:lvl w:ilvl="0" w:tplc="5B7623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7B52EA8"/>
    <w:multiLevelType w:val="hybridMultilevel"/>
    <w:tmpl w:val="12E08958"/>
    <w:lvl w:ilvl="0" w:tplc="2F6A637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NotTrackMoves/>
  <w:defaultTabStop w:val="708"/>
  <w:hyphenationZone w:val="425"/>
  <w:drawingGridHorizontalSpacing w:val="100"/>
  <w:displayHorizontalDrawingGridEvery w:val="2"/>
  <w:characterSpacingControl w:val="doNotCompress"/>
  <w:hdrShapeDefaults>
    <o:shapedefaults v:ext="edit" spidmax="2050"/>
  </w:hdrShapeDefaults>
  <w:footnotePr>
    <w:pos w:val="beneathText"/>
    <w:numFmt w:val="chicago"/>
    <w:footnote w:id="-1"/>
    <w:footnote w:id="0"/>
  </w:footnotePr>
  <w:endnotePr>
    <w:numFmt w:val="decimal"/>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F7684"/>
    <w:rsid w:val="000272B0"/>
    <w:rsid w:val="00041095"/>
    <w:rsid w:val="000513D3"/>
    <w:rsid w:val="00062924"/>
    <w:rsid w:val="00063C2D"/>
    <w:rsid w:val="000736CB"/>
    <w:rsid w:val="00076D70"/>
    <w:rsid w:val="00087527"/>
    <w:rsid w:val="000907F0"/>
    <w:rsid w:val="000C35C5"/>
    <w:rsid w:val="00102834"/>
    <w:rsid w:val="00114469"/>
    <w:rsid w:val="00116246"/>
    <w:rsid w:val="001174DC"/>
    <w:rsid w:val="00164795"/>
    <w:rsid w:val="001A4B50"/>
    <w:rsid w:val="001B14ED"/>
    <w:rsid w:val="001C4BAE"/>
    <w:rsid w:val="0021132F"/>
    <w:rsid w:val="00224AC8"/>
    <w:rsid w:val="00247EC9"/>
    <w:rsid w:val="0025411E"/>
    <w:rsid w:val="00261BCD"/>
    <w:rsid w:val="002675EE"/>
    <w:rsid w:val="002721BB"/>
    <w:rsid w:val="0029078E"/>
    <w:rsid w:val="002D609E"/>
    <w:rsid w:val="002E24C1"/>
    <w:rsid w:val="002E6857"/>
    <w:rsid w:val="00332410"/>
    <w:rsid w:val="00336F5D"/>
    <w:rsid w:val="00345564"/>
    <w:rsid w:val="0037559C"/>
    <w:rsid w:val="0038168D"/>
    <w:rsid w:val="003A687E"/>
    <w:rsid w:val="003B37CD"/>
    <w:rsid w:val="003C3F3F"/>
    <w:rsid w:val="00412AA3"/>
    <w:rsid w:val="00443890"/>
    <w:rsid w:val="00451717"/>
    <w:rsid w:val="00456054"/>
    <w:rsid w:val="004770B0"/>
    <w:rsid w:val="004842A4"/>
    <w:rsid w:val="00485A4C"/>
    <w:rsid w:val="004C66C2"/>
    <w:rsid w:val="004E147C"/>
    <w:rsid w:val="00520333"/>
    <w:rsid w:val="00537E19"/>
    <w:rsid w:val="005405EE"/>
    <w:rsid w:val="00542459"/>
    <w:rsid w:val="00565A24"/>
    <w:rsid w:val="00583EB9"/>
    <w:rsid w:val="00590FF6"/>
    <w:rsid w:val="005A02C7"/>
    <w:rsid w:val="005B358E"/>
    <w:rsid w:val="005B5E2E"/>
    <w:rsid w:val="005C4DBF"/>
    <w:rsid w:val="005D7D2D"/>
    <w:rsid w:val="005F7684"/>
    <w:rsid w:val="00604E1F"/>
    <w:rsid w:val="00644E06"/>
    <w:rsid w:val="00652466"/>
    <w:rsid w:val="006819B1"/>
    <w:rsid w:val="00681CCD"/>
    <w:rsid w:val="006B2AD4"/>
    <w:rsid w:val="006E4628"/>
    <w:rsid w:val="00707793"/>
    <w:rsid w:val="007139C4"/>
    <w:rsid w:val="00716A70"/>
    <w:rsid w:val="00727A99"/>
    <w:rsid w:val="00732C74"/>
    <w:rsid w:val="00734979"/>
    <w:rsid w:val="00751651"/>
    <w:rsid w:val="007576AB"/>
    <w:rsid w:val="00785880"/>
    <w:rsid w:val="007B07EA"/>
    <w:rsid w:val="007B766C"/>
    <w:rsid w:val="007C46EA"/>
    <w:rsid w:val="007C62C6"/>
    <w:rsid w:val="007C7E64"/>
    <w:rsid w:val="007E381E"/>
    <w:rsid w:val="007F408E"/>
    <w:rsid w:val="00802498"/>
    <w:rsid w:val="00821EB7"/>
    <w:rsid w:val="00845F64"/>
    <w:rsid w:val="008764AC"/>
    <w:rsid w:val="00877F7C"/>
    <w:rsid w:val="00883521"/>
    <w:rsid w:val="008A43EC"/>
    <w:rsid w:val="008B0E49"/>
    <w:rsid w:val="008B18C3"/>
    <w:rsid w:val="008B250B"/>
    <w:rsid w:val="008C53EC"/>
    <w:rsid w:val="008D0F66"/>
    <w:rsid w:val="008D5666"/>
    <w:rsid w:val="008E1274"/>
    <w:rsid w:val="008F231A"/>
    <w:rsid w:val="00920E0E"/>
    <w:rsid w:val="00921AA0"/>
    <w:rsid w:val="009333FB"/>
    <w:rsid w:val="00933608"/>
    <w:rsid w:val="00942523"/>
    <w:rsid w:val="00954EEF"/>
    <w:rsid w:val="0097748F"/>
    <w:rsid w:val="00990604"/>
    <w:rsid w:val="009D66C3"/>
    <w:rsid w:val="00A00972"/>
    <w:rsid w:val="00A07137"/>
    <w:rsid w:val="00A104E2"/>
    <w:rsid w:val="00A144F5"/>
    <w:rsid w:val="00A2086F"/>
    <w:rsid w:val="00A21236"/>
    <w:rsid w:val="00A56339"/>
    <w:rsid w:val="00A719D6"/>
    <w:rsid w:val="00A755B5"/>
    <w:rsid w:val="00AA1C4C"/>
    <w:rsid w:val="00AC06A4"/>
    <w:rsid w:val="00AE333E"/>
    <w:rsid w:val="00AE73B3"/>
    <w:rsid w:val="00B14452"/>
    <w:rsid w:val="00B3666B"/>
    <w:rsid w:val="00B415C4"/>
    <w:rsid w:val="00B43565"/>
    <w:rsid w:val="00B5062A"/>
    <w:rsid w:val="00B75B4A"/>
    <w:rsid w:val="00BB6160"/>
    <w:rsid w:val="00BD12F7"/>
    <w:rsid w:val="00C14C74"/>
    <w:rsid w:val="00C2102B"/>
    <w:rsid w:val="00C27D4C"/>
    <w:rsid w:val="00C757CC"/>
    <w:rsid w:val="00C81FB6"/>
    <w:rsid w:val="00CA01E3"/>
    <w:rsid w:val="00CF1B41"/>
    <w:rsid w:val="00D1058D"/>
    <w:rsid w:val="00D41A7C"/>
    <w:rsid w:val="00D551FC"/>
    <w:rsid w:val="00D76633"/>
    <w:rsid w:val="00D76933"/>
    <w:rsid w:val="00DE09A7"/>
    <w:rsid w:val="00DE5978"/>
    <w:rsid w:val="00DF10D2"/>
    <w:rsid w:val="00DF5684"/>
    <w:rsid w:val="00DF6A43"/>
    <w:rsid w:val="00E00F24"/>
    <w:rsid w:val="00E03EA2"/>
    <w:rsid w:val="00E0632B"/>
    <w:rsid w:val="00E22A98"/>
    <w:rsid w:val="00E2601E"/>
    <w:rsid w:val="00E40078"/>
    <w:rsid w:val="00E44FD9"/>
    <w:rsid w:val="00EA7916"/>
    <w:rsid w:val="00EB3B3B"/>
    <w:rsid w:val="00EE44B3"/>
    <w:rsid w:val="00F15959"/>
    <w:rsid w:val="00F26663"/>
    <w:rsid w:val="00F50AED"/>
    <w:rsid w:val="00F754C9"/>
    <w:rsid w:val="00FC6A0F"/>
    <w:rsid w:val="00FE53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B30B194-6F56-48FC-9743-A3599E36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PMingLiU"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7EA"/>
    <w:pPr>
      <w:ind w:firstLine="284"/>
      <w:jc w:val="both"/>
    </w:pPr>
    <w:rPr>
      <w:rFonts w:ascii="Times New Roman" w:hAnsi="Times New Roman"/>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36F5D"/>
    <w:pPr>
      <w:tabs>
        <w:tab w:val="center" w:pos="4536"/>
        <w:tab w:val="right" w:pos="9072"/>
      </w:tabs>
    </w:pPr>
  </w:style>
  <w:style w:type="character" w:customStyle="1" w:styleId="stBilgiChar">
    <w:name w:val="Üst Bilgi Char"/>
    <w:basedOn w:val="VarsaylanParagrafYazTipi"/>
    <w:link w:val="stBilgi"/>
    <w:uiPriority w:val="99"/>
    <w:rsid w:val="00336F5D"/>
  </w:style>
  <w:style w:type="paragraph" w:styleId="AltBilgi">
    <w:name w:val="footer"/>
    <w:basedOn w:val="Normal"/>
    <w:link w:val="AltBilgiChar"/>
    <w:uiPriority w:val="99"/>
    <w:unhideWhenUsed/>
    <w:rsid w:val="00336F5D"/>
    <w:pPr>
      <w:tabs>
        <w:tab w:val="center" w:pos="4536"/>
        <w:tab w:val="right" w:pos="9072"/>
      </w:tabs>
    </w:pPr>
  </w:style>
  <w:style w:type="character" w:customStyle="1" w:styleId="AltBilgiChar">
    <w:name w:val="Alt Bilgi Char"/>
    <w:basedOn w:val="VarsaylanParagrafYazTipi"/>
    <w:link w:val="AltBilgi"/>
    <w:uiPriority w:val="99"/>
    <w:rsid w:val="00336F5D"/>
  </w:style>
  <w:style w:type="paragraph" w:styleId="BalonMetni">
    <w:name w:val="Balloon Text"/>
    <w:basedOn w:val="Normal"/>
    <w:link w:val="BalonMetniChar"/>
    <w:uiPriority w:val="99"/>
    <w:semiHidden/>
    <w:unhideWhenUsed/>
    <w:rsid w:val="00336F5D"/>
    <w:rPr>
      <w:rFonts w:ascii="Tahoma" w:hAnsi="Tahoma" w:cs="Tahoma"/>
      <w:sz w:val="16"/>
      <w:szCs w:val="16"/>
    </w:rPr>
  </w:style>
  <w:style w:type="character" w:customStyle="1" w:styleId="BalonMetniChar">
    <w:name w:val="Balon Metni Char"/>
    <w:link w:val="BalonMetni"/>
    <w:uiPriority w:val="99"/>
    <w:semiHidden/>
    <w:rsid w:val="00336F5D"/>
    <w:rPr>
      <w:rFonts w:ascii="Tahoma" w:hAnsi="Tahoma" w:cs="Tahoma"/>
      <w:sz w:val="16"/>
      <w:szCs w:val="16"/>
    </w:rPr>
  </w:style>
  <w:style w:type="character" w:styleId="Kpr">
    <w:name w:val="Hyperlink"/>
    <w:uiPriority w:val="99"/>
    <w:unhideWhenUsed/>
    <w:rsid w:val="00336F5D"/>
    <w:rPr>
      <w:color w:val="0000FF"/>
      <w:u w:val="single"/>
    </w:rPr>
  </w:style>
  <w:style w:type="paragraph" w:customStyle="1" w:styleId="IACHeading">
    <w:name w:val="IAC Heading"/>
    <w:basedOn w:val="Normal"/>
    <w:link w:val="IACHeadingChar"/>
    <w:qFormat/>
    <w:rsid w:val="007B07EA"/>
    <w:pPr>
      <w:jc w:val="center"/>
    </w:pPr>
    <w:rPr>
      <w:caps/>
      <w:u w:val="single"/>
    </w:rPr>
  </w:style>
  <w:style w:type="paragraph" w:customStyle="1" w:styleId="IACSubheading">
    <w:name w:val="IAC Subheading"/>
    <w:link w:val="IACSubheadingChar"/>
    <w:qFormat/>
    <w:rsid w:val="00332410"/>
    <w:rPr>
      <w:rFonts w:ascii="Times New Roman" w:hAnsi="Times New Roman"/>
      <w:u w:val="single"/>
      <w:lang w:eastAsia="en-US"/>
    </w:rPr>
  </w:style>
  <w:style w:type="character" w:customStyle="1" w:styleId="IACHeadingChar">
    <w:name w:val="IAC Heading Char"/>
    <w:link w:val="IACHeading"/>
    <w:rsid w:val="007B07EA"/>
    <w:rPr>
      <w:rFonts w:ascii="Times New Roman" w:hAnsi="Times New Roman"/>
      <w:caps/>
      <w:u w:val="single"/>
      <w:lang w:val="en-GB" w:eastAsia="en-US"/>
    </w:rPr>
  </w:style>
  <w:style w:type="paragraph" w:customStyle="1" w:styleId="IACSub-subheading">
    <w:name w:val="IAC Sub-subheading"/>
    <w:basedOn w:val="Normal"/>
    <w:link w:val="IACSub-subheadingChar"/>
    <w:qFormat/>
    <w:rsid w:val="007B07EA"/>
    <w:rPr>
      <w:u w:val="single"/>
    </w:rPr>
  </w:style>
  <w:style w:type="character" w:customStyle="1" w:styleId="IACSubheadingChar">
    <w:name w:val="IAC Subheading Char"/>
    <w:link w:val="IACSubheading"/>
    <w:rsid w:val="00332410"/>
    <w:rPr>
      <w:rFonts w:ascii="Times New Roman" w:hAnsi="Times New Roman"/>
      <w:u w:val="single"/>
      <w:lang w:val="en-GB" w:eastAsia="en-US" w:bidi="ar-SA"/>
    </w:rPr>
  </w:style>
  <w:style w:type="paragraph" w:styleId="DipnotMetni">
    <w:name w:val="footnote text"/>
    <w:basedOn w:val="Normal"/>
    <w:link w:val="DipnotMetniChar"/>
    <w:uiPriority w:val="99"/>
    <w:semiHidden/>
    <w:unhideWhenUsed/>
    <w:rsid w:val="007B07EA"/>
  </w:style>
  <w:style w:type="character" w:customStyle="1" w:styleId="IACSub-subheadingChar">
    <w:name w:val="IAC Sub-subheading Char"/>
    <w:link w:val="IACSub-subheading"/>
    <w:rsid w:val="007B07EA"/>
    <w:rPr>
      <w:rFonts w:ascii="Times New Roman" w:hAnsi="Times New Roman"/>
      <w:u w:val="single"/>
      <w:lang w:val="en-GB" w:eastAsia="en-US"/>
    </w:rPr>
  </w:style>
  <w:style w:type="character" w:customStyle="1" w:styleId="DipnotMetniChar">
    <w:name w:val="Dipnot Metni Char"/>
    <w:link w:val="DipnotMetni"/>
    <w:uiPriority w:val="99"/>
    <w:semiHidden/>
    <w:rsid w:val="007B07EA"/>
    <w:rPr>
      <w:rFonts w:ascii="Times New Roman" w:hAnsi="Times New Roman"/>
      <w:lang w:val="en-GB" w:eastAsia="en-US"/>
    </w:rPr>
  </w:style>
  <w:style w:type="character" w:styleId="DipnotBavurusu">
    <w:name w:val="footnote reference"/>
    <w:uiPriority w:val="99"/>
    <w:semiHidden/>
    <w:unhideWhenUsed/>
    <w:rsid w:val="007B07EA"/>
    <w:rPr>
      <w:vertAlign w:val="superscript"/>
    </w:rPr>
  </w:style>
  <w:style w:type="paragraph" w:styleId="SonnotMetni">
    <w:name w:val="endnote text"/>
    <w:basedOn w:val="Normal"/>
    <w:link w:val="SonnotMetniChar"/>
    <w:uiPriority w:val="99"/>
    <w:semiHidden/>
    <w:unhideWhenUsed/>
    <w:rsid w:val="004770B0"/>
  </w:style>
  <w:style w:type="character" w:customStyle="1" w:styleId="SonnotMetniChar">
    <w:name w:val="Sonnot Metni Char"/>
    <w:link w:val="SonnotMetni"/>
    <w:uiPriority w:val="99"/>
    <w:semiHidden/>
    <w:rsid w:val="004770B0"/>
    <w:rPr>
      <w:rFonts w:ascii="Times New Roman" w:hAnsi="Times New Roman"/>
      <w:lang w:val="en-GB" w:eastAsia="en-US"/>
    </w:rPr>
  </w:style>
  <w:style w:type="character" w:styleId="SonnotBavurusu">
    <w:name w:val="endnote reference"/>
    <w:uiPriority w:val="99"/>
    <w:semiHidden/>
    <w:unhideWhenUsed/>
    <w:rsid w:val="004770B0"/>
    <w:rPr>
      <w:vertAlign w:val="superscript"/>
    </w:rPr>
  </w:style>
  <w:style w:type="paragraph" w:styleId="NormalWeb">
    <w:name w:val="Normal (Web)"/>
    <w:basedOn w:val="Normal"/>
    <w:uiPriority w:val="99"/>
    <w:semiHidden/>
    <w:unhideWhenUsed/>
    <w:rsid w:val="00802498"/>
    <w:pPr>
      <w:spacing w:before="100" w:beforeAutospacing="1" w:after="100" w:afterAutospacing="1"/>
      <w:ind w:firstLine="0"/>
      <w:jc w:val="left"/>
    </w:pPr>
    <w:rPr>
      <w:rFonts w:ascii="PMingLiU" w:hAnsi="PMingLiU" w:cs="PMingLiU"/>
      <w:sz w:val="24"/>
      <w:szCs w:val="24"/>
      <w:lang w:val="en-US" w:eastAsia="zh-TW"/>
    </w:rPr>
  </w:style>
  <w:style w:type="character" w:styleId="Vurgu">
    <w:name w:val="Emphasis"/>
    <w:uiPriority w:val="20"/>
    <w:qFormat/>
    <w:rsid w:val="00802498"/>
    <w:rPr>
      <w:i/>
      <w:iCs/>
    </w:rPr>
  </w:style>
  <w:style w:type="character" w:customStyle="1" w:styleId="apple-converted-space">
    <w:name w:val="apple-converted-space"/>
    <w:rsid w:val="00802498"/>
  </w:style>
  <w:style w:type="character" w:styleId="Gl">
    <w:name w:val="Strong"/>
    <w:uiPriority w:val="22"/>
    <w:qFormat/>
    <w:rsid w:val="00041095"/>
    <w:rPr>
      <w:b/>
      <w:bCs/>
    </w:rPr>
  </w:style>
  <w:style w:type="character" w:customStyle="1" w:styleId="longtext1">
    <w:name w:val="long_text1"/>
    <w:rsid w:val="00DF10D2"/>
    <w:rPr>
      <w:sz w:val="20"/>
      <w:szCs w:val="20"/>
    </w:rPr>
  </w:style>
  <w:style w:type="paragraph" w:customStyle="1" w:styleId="Balk11">
    <w:name w:val="Başlık 11"/>
    <w:basedOn w:val="Normal"/>
  </w:style>
  <w:style w:type="paragraph" w:customStyle="1" w:styleId="Balk21">
    <w:name w:val="Başlık 2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943778">
      <w:bodyDiv w:val="1"/>
      <w:marLeft w:val="0"/>
      <w:marRight w:val="0"/>
      <w:marTop w:val="0"/>
      <w:marBottom w:val="0"/>
      <w:divBdr>
        <w:top w:val="none" w:sz="0" w:space="0" w:color="auto"/>
        <w:left w:val="none" w:sz="0" w:space="0" w:color="auto"/>
        <w:bottom w:val="none" w:sz="0" w:space="0" w:color="auto"/>
        <w:right w:val="none" w:sz="0" w:space="0" w:color="auto"/>
      </w:divBdr>
    </w:div>
    <w:div w:id="182080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ppe\Desktop\IAF\backup%20Janv2011\IAF\1%20-%20Filling\01%20-%20IAC\IAC%202010\Authors%20&amp;%20Papers\Instructions%20-%20authors\Manuscripts\Templates\IAC10_Paper_Template_MSOffice\IAC10_Paper_Template_MSOffi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IAC10_Paper_Template_MSOffice.dot</Template>
  <TotalTime>0</TotalTime>
  <Pages>3</Pages>
  <Words>2765</Words>
  <Characters>15762</Characters>
  <Application>Microsoft Office Word</Application>
  <DocSecurity>0</DocSecurity>
  <Lines>131</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IAF</Company>
  <LinksUpToDate>false</LinksUpToDate>
  <CharactersWithSpaces>18491</CharactersWithSpaces>
  <SharedDoc>false</SharedDoc>
  <HLinks>
    <vt:vector size="12" baseType="variant">
      <vt:variant>
        <vt:i4>4259919</vt:i4>
      </vt:variant>
      <vt:variant>
        <vt:i4>6</vt:i4>
      </vt:variant>
      <vt:variant>
        <vt:i4>0</vt:i4>
      </vt:variant>
      <vt:variant>
        <vt:i4>5</vt:i4>
      </vt:variant>
      <vt:variant>
        <vt:lpwstr>http://www.gizmag.com/spaceport-america-hits-nags/36200/</vt:lpwstr>
      </vt:variant>
      <vt:variant>
        <vt:lpwstr/>
      </vt:variant>
      <vt:variant>
        <vt:i4>6619229</vt:i4>
      </vt:variant>
      <vt:variant>
        <vt:i4>3</vt:i4>
      </vt:variant>
      <vt:variant>
        <vt:i4>0</vt:i4>
      </vt:variant>
      <vt:variant>
        <vt:i4>5</vt:i4>
      </vt:variant>
      <vt:variant>
        <vt:lpwstr>http://upload.wikimedia.org/wikipedia/commons/a/ad/SS2_and_VMS_Eve.jpg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Simulation Approach for Assessing Space Debris Collision Risk in Low Earth Orbit</dc:title>
  <dc:subject>IAC 2026 technical manuscript</dc:subject>
  <dc:creator>Mustafa İsa Oruçtutan</dc:creator>
  <cp:keywords>space debris, conjunction analysis, SGP4, machine learning</cp:keywords>
  <cp:lastModifiedBy>mustafa isa oruçtutan</cp:lastModifiedBy>
  <cp:revision>3</cp:revision>
  <dcterms:created xsi:type="dcterms:W3CDTF">2026-08-11T08:52:00Z</dcterms:created>
  <dcterms:modified xsi:type="dcterms:W3CDTF">2026-09-01T10:37:00Z</dcterms:modified>
</cp:coreProperties>
</file>