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rebuchet MS" w:cs="Trebuchet MS" w:eastAsia="Trebuchet MS" w:hAnsi="Trebuchet MS"/>
          <w:b/>
          <w:bCs/>
          <w:caps/>
          <w:color w:val="005F85"/>
          <w:sz w:val="30"/>
          <w:szCs w:val="30"/>
        </w:rPr>
        <w:t xml:space="preserve">HR Letter Templates — Usage Guide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595959"/>
          <w:sz w:val="18"/>
          <w:szCs w:val="18"/>
        </w:rPr>
        <w:t xml:space="preserve">For HR Desk (portal.spdc.in → Documents &amp; Masters → Letters). Internal — not for issue to employees.</w:t>
      </w:r>
    </w:p>
    <w:p>
      <w:pPr>
        <w:keepNext/>
        <w:keepLines/>
        <w:tabs>
          <w:tab w:val="left" w:pos="567"/>
        </w:tabs>
        <w:spacing w:after="90" w:before="200"/>
      </w:pP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1.</w:t>
      </w:r>
      <w:r>
        <w:rPr>
          <w:rFonts w:ascii="Trebuchet MS" w:cs="Trebuchet MS" w:eastAsia="Trebuchet MS" w:hAnsi="Trebuchet MS"/>
        </w:rPr>
        <w:tab/>
      </w: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LETTER REGISTER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000"/>
        <w:gridCol w:w="1150"/>
        <w:gridCol w:w="3406"/>
        <w:gridCol w:w="27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Ref. code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When to issue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Signed by / copies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Appointment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On the day of joining, after document verification. Print on stamp paper; employee signs every page.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 + employee; 2 originals + witnesses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Offer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OL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After final interview and salary approval. Before candidate resigns elsewhere.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Director; candidate signs acceptance + Annexure 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Relieving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Only after all exit clearances and the Exit Declaration are signed.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Within 2 working days of accepting resignation or deciding termination.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Director; employee signs declaration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Asset Submission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AS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On every return of assets — exit, transfer or replacement.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Admin, IT, HR + employee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Confirmation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Before probation end date, after written review. Never let probation lapse silently.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 + employee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Letter of Promotion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PL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After appraisal approval; effective date not earlier than approval date.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 + employee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Warning / Concern Letter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WL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Within 7 days of the lapse coming to notice, with evidence ready.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Director; employee acknowledges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Experience Certificate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EC</w:t>
            </w:r>
          </w:p>
        </w:tc>
        <w:tc>
          <w:tcPr>
            <w:tcW w:type="dxa" w:w="3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With or after the Relieving Letter, on request.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Director</w:t>
            </w:r>
          </w:p>
        </w:tc>
      </w:tr>
    </w:tbl>
    <w:p>
      <w:pPr>
        <w:keepNext/>
        <w:keepLines/>
        <w:tabs>
          <w:tab w:val="left" w:pos="567"/>
        </w:tabs>
        <w:spacing w:after="90" w:before="200"/>
      </w:pP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2.</w:t>
      </w:r>
      <w:r>
        <w:rPr>
          <w:rFonts w:ascii="Trebuchet MS" w:cs="Trebuchet MS" w:eastAsia="Trebuchet MS" w:hAnsi="Trebuchet MS"/>
        </w:rPr>
        <w:tab/>
      </w: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HOW TO FILL A TEMPLATE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Replace every yellow </w:t>
      </w:r>
      <w:r>
        <w:rPr>
          <w:rFonts w:ascii="Trebuchet MS" w:cs="Trebuchet MS" w:eastAsia="Trebuchet MS" w:hAnsi="Trebuchet MS"/>
          <w:sz w:val="20"/>
          <w:szCs w:val="20"/>
          <w:highlight w:val="yellow"/>
          <w:highlightCs w:val="yellow"/>
        </w:rPr>
        <w:t xml:space="preserve">{{FIELD}}</w:t>
      </w:r>
      <w:r>
        <w:rPr>
          <w:rFonts w:ascii="Trebuchet MS" w:cs="Trebuchet MS" w:eastAsia="Trebuchet MS" w:hAnsi="Trebuchet MS"/>
          <w:sz w:val="20"/>
          <w:szCs w:val="20"/>
        </w:rPr>
        <w:t xml:space="preserve"> and remove the yellow highlight. Delete the example text in "e.g." fields.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Delete tick-box options that do not apply, or tick the one that does.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Use the same notice period, probation and leave figures in the Offer Letter and the Appointment Letter.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Number every letter from the portal sequence (SPDC/HR/&lt;code&gt;/&lt;FY&gt;/&lt;seq&gt;) and upload the signed scan to Employee Files.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Send by hand against signature, and also by email to the employee's recorded email address. Keep the email.</w:t>
      </w:r>
    </w:p>
    <w:p>
      <w:pPr>
        <w:keepNext/>
        <w:keepLines/>
        <w:tabs>
          <w:tab w:val="left" w:pos="567"/>
        </w:tabs>
        <w:spacing w:after="90" w:before="200"/>
      </w:pP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3.</w:t>
      </w:r>
      <w:r>
        <w:rPr>
          <w:rFonts w:ascii="Trebuchet MS" w:cs="Trebuchet MS" w:eastAsia="Trebuchet MS" w:hAnsi="Trebuchet MS"/>
        </w:rPr>
        <w:tab/>
      </w: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KEY CLAUSE MAP (APPOINTMENT LETTER)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4206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05F8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Probation notice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3.4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 Letter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Limits of authority / delegation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5, Sch. V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Promotion Letter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Performance / PIP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10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Confirmation, Warning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Integrity and false certification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14, 14.3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Warning Letter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18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Relieving, Exit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Intellectual property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19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Relieving, Exit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Company property and monitoring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20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Asset Submission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Non-solicitation (12 months)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22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Relieving, Exit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Recovery of dues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9.4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Asset, Relieving, Exit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Resignation notice / shortfall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27.1, 27.2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Exit, Promotion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Company notice / summary termination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27.3, 27.4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 Letter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Abandonment (7 + 3 days)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27.7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 Letter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 formalities / F&amp;F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27.8, 27.9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Exit, Relieving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Security undertaking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29, Sch. IV</w:t>
            </w:r>
          </w:p>
        </w:tc>
        <w:tc>
          <w:tcPr>
            <w:tcW w:type="dxa" w:w="4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rebuchet MS" w:cs="Trebuchet MS" w:eastAsia="Trebuchet MS" w:hAnsi="Trebuchet MS"/>
                <w:sz w:val="19"/>
                <w:szCs w:val="19"/>
              </w:rPr>
              <w:t xml:space="preserve">Promotion, Exit</w:t>
            </w:r>
          </w:p>
        </w:tc>
      </w:tr>
    </w:tbl>
    <w:p>
      <w:pPr>
        <w:keepNext/>
        <w:keepLines/>
        <w:tabs>
          <w:tab w:val="left" w:pos="567"/>
        </w:tabs>
        <w:spacing w:after="90" w:before="200"/>
      </w:pP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4.</w:t>
      </w:r>
      <w:r>
        <w:rPr>
          <w:rFonts w:ascii="Trebuchet MS" w:cs="Trebuchet MS" w:eastAsia="Trebuchet MS" w:hAnsi="Trebuchet MS"/>
        </w:rPr>
        <w:tab/>
      </w: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DO'S AND DON'TS THAT PROTECT THE COMPANY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</w:t>
      </w:r>
      <w:r>
        <w:rPr>
          <w:rFonts w:ascii="Trebuchet MS" w:cs="Trebuchet MS" w:eastAsia="Trebuchet MS" w:hAnsi="Trebuchet MS"/>
          <w:sz w:val="20"/>
          <w:szCs w:val="20"/>
        </w:rPr>
        <w:t xml:space="preserve"> give a show-cause letter and consider the reply before any major penalty or dismissal. Skipping this is the most common reason terminations are overturned.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</w:t>
      </w:r>
      <w:r>
        <w:rPr>
          <w:rFonts w:ascii="Trebuchet MS" w:cs="Trebuchet MS" w:eastAsia="Trebuchet MS" w:hAnsi="Trebuchet MS"/>
          <w:sz w:val="20"/>
          <w:szCs w:val="20"/>
        </w:rPr>
        <w:t xml:space="preserve"> record handover and asset return in writing on the day. Claims made weeks later are hard to prove.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</w:t>
      </w:r>
      <w:r>
        <w:rPr>
          <w:rFonts w:ascii="Trebuchet MS" w:cs="Trebuchet MS" w:eastAsia="Trebuchet MS" w:hAnsi="Trebuchet MS"/>
          <w:sz w:val="20"/>
          <w:szCs w:val="20"/>
        </w:rPr>
        <w:t xml:space="preserve"> issue the absence notice on day 7 of unauthorised absence, by email and registered post, before treating it as abandonment.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</w:t>
      </w:r>
      <w:r>
        <w:rPr>
          <w:rFonts w:ascii="Trebuchet MS" w:cs="Trebuchet MS" w:eastAsia="Trebuchet MS" w:hAnsi="Trebuchet MS"/>
          <w:sz w:val="20"/>
          <w:szCs w:val="20"/>
        </w:rPr>
        <w:t xml:space="preserve"> pay full and final settlement within the time required by the Code on Wages, 2019 — delay can attract penalties even where the employee owes money.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Don't</w:t>
      </w:r>
      <w:r>
        <w:rPr>
          <w:rFonts w:ascii="Trebuchet MS" w:cs="Trebuchet MS" w:eastAsia="Trebuchet MS" w:hAnsi="Trebuchet MS"/>
          <w:sz w:val="20"/>
          <w:szCs w:val="20"/>
        </w:rPr>
        <w:t xml:space="preserve"> deduct more than the law allows from wages; recover the balance through the security undertaking or a demand notice.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Don't</w:t>
      </w:r>
      <w:r>
        <w:rPr>
          <w:rFonts w:ascii="Trebuchet MS" w:cs="Trebuchet MS" w:eastAsia="Trebuchet MS" w:hAnsi="Trebuchet MS"/>
          <w:sz w:val="20"/>
          <w:szCs w:val="20"/>
        </w:rPr>
        <w:t xml:space="preserve"> present a security cheque without first sending a written demand with the computed amount.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Don't</w:t>
      </w:r>
      <w:r>
        <w:rPr>
          <w:rFonts w:ascii="Trebuchet MS" w:cs="Trebuchet MS" w:eastAsia="Trebuchet MS" w:hAnsi="Trebuchet MS"/>
          <w:sz w:val="20"/>
          <w:szCs w:val="20"/>
        </w:rPr>
        <w:t xml:space="preserve"> add a post-employment non-compete; it is void under Section 27 of the Indian Contract Act. Rely on confidentiality and non-solicitation instead.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Don't</w:t>
      </w:r>
      <w:r>
        <w:rPr>
          <w:rFonts w:ascii="Trebuchet MS" w:cs="Trebuchet MS" w:eastAsia="Trebuchet MS" w:hAnsi="Trebuchet MS"/>
          <w:sz w:val="20"/>
          <w:szCs w:val="20"/>
        </w:rPr>
        <w:t xml:space="preserve"> write opinions about character or performance in Relieving Letters or Experience Certificates.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Don't</w:t>
      </w:r>
      <w:r>
        <w:rPr>
          <w:rFonts w:ascii="Trebuchet MS" w:cs="Trebuchet MS" w:eastAsia="Trebuchet MS" w:hAnsi="Trebuchet MS"/>
          <w:sz w:val="20"/>
          <w:szCs w:val="20"/>
        </w:rPr>
        <w:t xml:space="preserve"> withhold PF, gratuity or earned salary as leverage; recover dues separately.</w:t>
      </w:r>
    </w:p>
    <w:p>
      <w:pPr>
        <w:keepNext/>
        <w:keepLines/>
        <w:tabs>
          <w:tab w:val="left" w:pos="567"/>
        </w:tabs>
        <w:spacing w:after="90" w:before="200"/>
      </w:pP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5.</w:t>
      </w:r>
      <w:r>
        <w:rPr>
          <w:rFonts w:ascii="Trebuchet MS" w:cs="Trebuchet MS" w:eastAsia="Trebuchet MS" w:hAnsi="Trebuchet MS"/>
        </w:rPr>
        <w:tab/>
      </w:r>
      <w:r>
        <w:rPr>
          <w:rFonts w:ascii="Trebuchet MS" w:cs="Trebuchet MS" w:eastAsia="Trebuchet MS" w:hAnsi="Trebuchet MS"/>
          <w:b/>
          <w:bCs/>
          <w:color w:val="005F85"/>
          <w:sz w:val="21"/>
          <w:szCs w:val="21"/>
        </w:rPr>
        <w:t xml:space="preserve">POINTS TO CONFIRM WITH LEGAL COUNSEL / CA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Working hours above 48 per week and overtime treatment under the Gujarat Shops &amp; Establishments Act, 2019 for site roles.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PF, ESI and gratuity applicability based on current headcount.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Stamp duty value for the Appointment Letter under the Gujarat Stamp Act, 1958.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Wage definition (50% rule) and salary structure under the Code on Wages, 2019.</w:t>
      </w:r>
    </w:p>
    <w:p>
      <w:pPr>
        <w:pStyle w:val="ListParagraph"/>
        <w:numPr>
          <w:ilvl w:val="0"/>
          <w:numId w:val="2"/>
        </w:numPr>
        <w:spacing w:after="60" w:line="252"/>
        <w:jc w:val="both"/>
      </w:pPr>
      <w:r>
        <w:rPr>
          <w:rFonts w:ascii="Trebuchet MS" w:cs="Trebuchet MS" w:eastAsia="Trebuchet MS" w:hAnsi="Trebuchet MS"/>
          <w:sz w:val="20"/>
          <w:szCs w:val="20"/>
        </w:rPr>
        <w:t xml:space="preserve">Retirement age and whether an Internal Committee (POSH) is constituted and notified.</w:t>
      </w:r>
    </w:p>
    <w:sectPr>
      <w:headerReference w:type="default" r:id="rId7"/>
      <w:footerReference w:type="default" r:id="rId8"/>
      <w:pgSz w:w="11906" w:h="16838" w:orient="portrait"/>
      <w:pgMar w:top="1700" w:right="1000" w:bottom="1300" w:left="1000" w:header="4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F85" w:sz="4" w:space="4"/>
      </w:pBdr>
      <w:spacing w:after="0"/>
      <w:jc w:val="center"/>
    </w:pPr>
    <w:r>
      <w:rPr>
        <w:rFonts w:ascii="Trebuchet MS" w:cs="Trebuchet MS" w:eastAsia="Trebuchet MS" w:hAnsi="Trebuchet MS"/>
        <w:color w:val="595959"/>
        <w:sz w:val="14"/>
        <w:szCs w:val="14"/>
      </w:rPr>
      <w:t xml:space="preserve">1018, Samanvay Silver, Near BS Royal Orchid Hotel, Mujmahuda Circle, Akota, Vadodara, Gujarat – 390020</w:t>
    </w:r>
  </w:p>
  <w:p>
    <w:pPr>
      <w:tabs>
        <w:tab w:val="right" w:pos="9906"/>
      </w:tabs>
    </w:pPr>
    <w:r>
      <w:rPr>
        <w:rFonts w:ascii="Trebuchet MS" w:cs="Trebuchet MS" w:eastAsia="Trebuchet MS" w:hAnsi="Trebuchet MS"/>
        <w:color w:val="595959"/>
        <w:sz w:val="14"/>
        <w:szCs w:val="14"/>
      </w:rPr>
      <w:t xml:space="preserve">Form SPDC/HR/G-00 | Rev 00 | Confidential</w:t>
    </w:r>
    <w:r>
      <w:rPr>
        <w:rFonts w:ascii="Trebuchet MS" w:cs="Trebuchet MS" w:eastAsia="Trebuchet MS" w:hAnsi="Trebuchet MS"/>
        <w:color w:val="595959"/>
        <w:sz w:val="14"/>
        <w:szCs w:val="14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jc w:val="left"/>
    </w:pPr>
    <w:r>
      <w:rPr>
        <w:rFonts w:ascii="Trebuchet MS" w:cs="Trebuchet MS" w:eastAsia="Trebuchet MS" w:hAnsi="Trebuchet MS"/>
        <w:color w:val="595959"/>
        <w:sz w:val="14"/>
        <w:szCs w:val="14"/>
      </w:rPr>
      <w:t xml:space="preserve">Initials: Company ______   Employee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506"/>
    </w:tblGrid>
    <w:tr>
      <w:tc>
        <w:tcPr>
          <w:tcW w:type="dxa" w:w="6400"/>
          <w:tcBorders>
            <w:top w:val="none" w:color="FFFFFF" w:sz="0"/>
            <w:left w:val="none" w:color="FFFFFF" w:sz="0"/>
            <w:bottom w:val="single" w:color="005F85" w:sz="12"/>
            <w:right w:val="none" w:color="FFFFFF" w:sz="0"/>
          </w:tcBorders>
          <w:vAlign w:val="bottom"/>
        </w:tcPr>
        <w:p>
          <w:pPr>
            <w:spacing w:after="0"/>
          </w:pPr>
          <w:r>
            <w:rPr>
              <w:rFonts w:ascii="Trebuchet MS" w:cs="Trebuchet MS" w:eastAsia="Trebuchet MS" w:hAnsi="Trebuchet MS"/>
              <w:b/>
              <w:bCs/>
              <w:color w:val="005F85"/>
              <w:sz w:val="20"/>
              <w:szCs w:val="20"/>
            </w:rPr>
            <w:t xml:space="preserve">Sharnam Project Development Consultants &amp; Co.</w:t>
          </w:r>
        </w:p>
        <w:p>
          <w:pPr>
            <w:spacing w:after="60"/>
          </w:pPr>
          <w:r>
            <w:rPr>
              <w:rFonts w:ascii="Trebuchet MS" w:cs="Trebuchet MS" w:eastAsia="Trebuchet MS" w:hAnsi="Trebuchet MS"/>
              <w:color w:val="595959"/>
              <w:sz w:val="15"/>
              <w:szCs w:val="15"/>
            </w:rPr>
            <w:t xml:space="preserve">Project Development &amp; Management Consultants</w:t>
          </w:r>
        </w:p>
      </w:tc>
      <w:tc>
        <w:tcPr>
          <w:tcW w:type="dxa" w:w="3506"/>
          <w:tcBorders>
            <w:top w:val="none" w:color="FFFFFF" w:sz="0"/>
            <w:left w:val="none" w:color="FFFFFF" w:sz="0"/>
            <w:bottom w:val="single" w:color="005F85" w:sz="12"/>
            <w:right w:val="none" w:color="FFFFFF" w:sz="0"/>
          </w:tcBorders>
          <w:vAlign w:val="bottom"/>
        </w:tcPr>
        <w:p>
          <w:pPr>
            <w:spacing w:after="60"/>
            <w:jc w:val="right"/>
          </w:pPr>
          <w:r>
            <w:drawing>
              <wp:inline distT="0" distB="0" distL="0" distR="0">
                <wp:extent cx="1143000" cy="4857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  <w:lvl w:ilvl="1" w15:tentative="1">
      <w:start w:val="1"/>
      <w:numFmt w:val="bullet"/>
      <w:lvlText w:val="–"/>
      <w:lvlJc w:val="left"/>
      <w:pPr>
        <w:ind w:left="156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af888078e9db0a95f30b7b02c981b8e6cc32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Letters Usage Guide</dc:title>
  <dc:creator>Sharnam Project Development Consultants &amp; Co.</dc:creator>
  <dc:description>SPDC HR Desk letter template</dc:description>
  <cp:lastModifiedBy>Un-named</cp:lastModifiedBy>
  <cp:revision>1</cp:revision>
  <dcterms:created xsi:type="dcterms:W3CDTF">2026-09-16T13:19:35.872Z</dcterms:created>
  <dcterms:modified xsi:type="dcterms:W3CDTF">2026-09-16T13:19:35.872Z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