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BP Variable Incentive</w:t>
        <w:br/>
        <w:t>Unique KPI Conditions Reference</w:t>
      </w:r>
    </w:p>
    <w:p/>
    <w:p>
      <w:pPr>
        <w:jc w:val="center"/>
      </w:pPr>
      <w:r>
        <w:rPr>
          <w:color w:val="444444"/>
          <w:sz w:val="20"/>
        </w:rPr>
        <w:t>Extracted from 18 Service Request Forms (SRFs)</w:t>
        <w:br/>
        <w:t>Campaign Types: Standard BP Variable (14 SRFs) · Freelancer BP Variable Central Cluster (3 SRFs) · TechVan BP Variable (1 SRF)</w:t>
        <w:br/>
        <w:t>Period: April 2025 – April 2026 | Department: Trade Marketing / Distribution Planning</w:t>
      </w:r>
    </w:p>
    <w:p/>
    <w:p/>
    <w:p>
      <w:pPr>
        <w:pStyle w:val="Heading1"/>
      </w:pPr>
      <w:r>
        <w:rPr>
          <w:color w:val="1F497D"/>
        </w:rPr>
        <w:t>Table of Contents</w:t>
      </w:r>
    </w:p>
    <w:p>
      <w:pPr>
        <w:spacing w:after="40"/>
        <w:ind w:left="0"/>
      </w:pPr>
      <w:r>
        <w:rPr>
          <w:b/>
          <w:sz w:val="20"/>
        </w:rPr>
        <w:t>Section 1:  Folder Overview — BP Variable SRF Catalogue</w:t>
      </w:r>
    </w:p>
    <w:p>
      <w:pPr>
        <w:spacing w:after="40"/>
        <w:ind w:left="0"/>
      </w:pPr>
      <w:r>
        <w:rPr>
          <w:b/>
          <w:sz w:val="20"/>
        </w:rPr>
        <w:t>Section 2:  Universal / Common Conditions (All Standard BP Variable SRFs)</w:t>
      </w:r>
    </w:p>
    <w:p>
      <w:pPr>
        <w:spacing w:after="40"/>
        <w:ind w:left="0"/>
      </w:pPr>
      <w:r>
        <w:rPr>
          <w:b/>
          <w:sz w:val="20"/>
        </w:rPr>
        <w:t>Section 3:  KPI 1 — GA Variable Incentive (Core KPI)</w:t>
      </w:r>
    </w:p>
    <w:p>
      <w:pPr>
        <w:spacing w:after="40"/>
        <w:ind w:left="432"/>
      </w:pPr>
      <w:r>
        <w:rPr>
          <w:b w:val="0"/>
          <w:sz w:val="18"/>
        </w:rPr>
        <w:t xml:space="preserve">   BP Type Classification: Regular BP vs LUS BP</w:t>
      </w:r>
    </w:p>
    <w:p>
      <w:pPr>
        <w:spacing w:after="40"/>
        <w:ind w:left="432"/>
      </w:pPr>
      <w:r>
        <w:rPr>
          <w:b w:val="0"/>
          <w:sz w:val="18"/>
        </w:rPr>
        <w:t xml:space="preserve">   Market Classification: Core Market vs Emerging Market (from Nov 2025)</w:t>
      </w:r>
    </w:p>
    <w:p>
      <w:pPr>
        <w:spacing w:after="40"/>
        <w:ind w:left="432"/>
      </w:pPr>
      <w:r>
        <w:rPr>
          <w:b w:val="0"/>
          <w:sz w:val="18"/>
        </w:rPr>
        <w:t xml:space="preserve">   Cluster-Based GA Attribution: FCD vs FCD+SMART POS</w:t>
      </w:r>
    </w:p>
    <w:p>
      <w:pPr>
        <w:spacing w:after="40"/>
        <w:ind w:left="432"/>
      </w:pPr>
      <w:r>
        <w:rPr>
          <w:b w:val="0"/>
          <w:sz w:val="18"/>
        </w:rPr>
        <w:t xml:space="preserve">   GA Counting Range and Cap Evolution</w:t>
      </w:r>
    </w:p>
    <w:p>
      <w:pPr>
        <w:spacing w:after="40"/>
        <w:ind w:left="432"/>
      </w:pPr>
      <w:r>
        <w:rPr>
          <w:b w:val="0"/>
          <w:sz w:val="18"/>
        </w:rPr>
        <w:t xml:space="preserve">   VLR Condition — Three-Tier Payout Slab</w:t>
      </w:r>
    </w:p>
    <w:p>
      <w:pPr>
        <w:spacing w:after="40"/>
        <w:ind w:left="432"/>
      </w:pPr>
      <w:r>
        <w:rPr>
          <w:b w:val="0"/>
          <w:sz w:val="18"/>
        </w:rPr>
        <w:t xml:space="preserve">   Central Cluster Special Rate (from Jan 2026)</w:t>
      </w:r>
    </w:p>
    <w:p>
      <w:pPr>
        <w:spacing w:after="40"/>
        <w:ind w:left="432"/>
      </w:pPr>
      <w:r>
        <w:rPr>
          <w:b w:val="0"/>
          <w:sz w:val="18"/>
        </w:rPr>
        <w:t xml:space="preserve">   West Cluster Special Rate — Barisal/Khulna Outer/Jessore Region (Apr 2026)</w:t>
      </w:r>
    </w:p>
    <w:p>
      <w:pPr>
        <w:spacing w:after="40"/>
        <w:ind w:left="0"/>
      </w:pPr>
      <w:r>
        <w:rPr>
          <w:b/>
          <w:sz w:val="20"/>
        </w:rPr>
        <w:t>Section 4:  KPI 2 — MyBL App &amp; Toffee Referral Hit Incentive</w:t>
      </w:r>
    </w:p>
    <w:p>
      <w:pPr>
        <w:spacing w:after="40"/>
        <w:ind w:left="432"/>
      </w:pPr>
      <w:r>
        <w:rPr>
          <w:b w:val="0"/>
          <w:sz w:val="18"/>
        </w:rPr>
        <w:t xml:space="preserve">   MyBL App Referral (All Months)</w:t>
      </w:r>
    </w:p>
    <w:p>
      <w:pPr>
        <w:spacing w:after="40"/>
        <w:ind w:left="432"/>
      </w:pPr>
      <w:r>
        <w:rPr>
          <w:b w:val="0"/>
          <w:sz w:val="18"/>
        </w:rPr>
        <w:t xml:space="preserve">   Toffee App Referral (May 2025 onward)</w:t>
      </w:r>
    </w:p>
    <w:p>
      <w:pPr>
        <w:spacing w:after="40"/>
        <w:ind w:left="432"/>
      </w:pPr>
      <w:r>
        <w:rPr>
          <w:b w:val="0"/>
          <w:sz w:val="18"/>
        </w:rPr>
        <w:t xml:space="preserve">   Changes in MyBL Recharge Condition</w:t>
      </w:r>
    </w:p>
    <w:p>
      <w:pPr>
        <w:spacing w:after="40"/>
        <w:ind w:left="0"/>
      </w:pPr>
      <w:r>
        <w:rPr>
          <w:b/>
          <w:sz w:val="20"/>
        </w:rPr>
        <w:t>Section 5:  KPI 3 — GA Quality (48hr Usage) Incentive</w:t>
      </w:r>
    </w:p>
    <w:p>
      <w:pPr>
        <w:spacing w:after="40"/>
        <w:ind w:left="0"/>
      </w:pPr>
      <w:r>
        <w:rPr>
          <w:b/>
          <w:sz w:val="20"/>
        </w:rPr>
        <w:t>Section 6:  KPI 4 — Unique Outlet Coverage Incentive (Apr 2025 only)</w:t>
      </w:r>
    </w:p>
    <w:p>
      <w:pPr>
        <w:spacing w:after="40"/>
        <w:ind w:left="0"/>
      </w:pPr>
      <w:r>
        <w:rPr>
          <w:b/>
          <w:sz w:val="20"/>
        </w:rPr>
        <w:t>Section 7:  KPI 5 — FR (First Recharge) Incentive (Apr 2025 only)</w:t>
      </w:r>
    </w:p>
    <w:p>
      <w:pPr>
        <w:spacing w:after="40"/>
        <w:ind w:left="0"/>
      </w:pPr>
      <w:r>
        <w:rPr>
          <w:b/>
          <w:sz w:val="20"/>
        </w:rPr>
        <w:t>Section 8:  KPI 6 — Daily Productivity Incentive (Feb 2026 onward)</w:t>
      </w:r>
    </w:p>
    <w:p>
      <w:pPr>
        <w:spacing w:after="40"/>
        <w:ind w:left="0"/>
      </w:pPr>
      <w:r>
        <w:rPr>
          <w:b/>
          <w:sz w:val="20"/>
        </w:rPr>
        <w:t>Section 9:  Sub-Campaign Type 2 — Freelancer BP Variable Incentive (Central Cluster)</w:t>
      </w:r>
    </w:p>
    <w:p>
      <w:pPr>
        <w:spacing w:after="40"/>
        <w:ind w:left="432"/>
      </w:pPr>
      <w:r>
        <w:rPr>
          <w:b w:val="0"/>
          <w:sz w:val="18"/>
        </w:rPr>
        <w:t xml:space="preserve">   Freelancer BP Structure — Key Differences</w:t>
      </w:r>
    </w:p>
    <w:p>
      <w:pPr>
        <w:spacing w:after="40"/>
        <w:ind w:left="432"/>
      </w:pPr>
      <w:r>
        <w:rPr>
          <w:b w:val="0"/>
          <w:sz w:val="18"/>
        </w:rPr>
        <w:t xml:space="preserve">   VLR Condition — Freelancer SRFs</w:t>
      </w:r>
    </w:p>
    <w:p>
      <w:pPr>
        <w:spacing w:after="40"/>
        <w:ind w:left="0"/>
      </w:pPr>
      <w:r>
        <w:rPr>
          <w:b/>
          <w:sz w:val="20"/>
        </w:rPr>
        <w:t>Section 10:  Sub-Campaign Type 3 — TechVan BP Variable Incentive</w:t>
      </w:r>
    </w:p>
    <w:p>
      <w:pPr>
        <w:spacing w:after="40"/>
        <w:ind w:left="432"/>
      </w:pPr>
      <w:r>
        <w:rPr>
          <w:b w:val="0"/>
          <w:sz w:val="18"/>
        </w:rPr>
        <w:t xml:space="preserve">   TechVan Campaign Structure</w:t>
      </w:r>
    </w:p>
    <w:p>
      <w:pPr>
        <w:spacing w:after="40"/>
        <w:ind w:left="432"/>
      </w:pPr>
      <w:r>
        <w:rPr>
          <w:b w:val="0"/>
          <w:sz w:val="18"/>
        </w:rPr>
        <w:t xml:space="preserve">   TechVan — Handset+GA Slab Commission</w:t>
      </w:r>
    </w:p>
    <w:p>
      <w:pPr>
        <w:spacing w:after="40"/>
        <w:ind w:left="0"/>
      </w:pPr>
      <w:r>
        <w:rPr>
          <w:b/>
          <w:sz w:val="20"/>
        </w:rPr>
        <w:t>Section 11:  Maturity Date Evolution</w:t>
      </w:r>
    </w:p>
    <w:p>
      <w:pPr>
        <w:spacing w:after="40"/>
        <w:ind w:left="0"/>
      </w:pPr>
      <w:r>
        <w:rPr>
          <w:b/>
          <w:sz w:val="20"/>
        </w:rPr>
        <w:t>Section 12:  Campaign-by-Campaign Quick Reference Table</w:t>
      </w:r>
    </w:p>
    <w:p>
      <w:r>
        <w:br w:type="page"/>
      </w:r>
    </w:p>
    <w:p>
      <w:pPr>
        <w:pStyle w:val="Heading1"/>
      </w:pPr>
      <w:r>
        <w:rPr>
          <w:color w:val="1F497D"/>
        </w:rPr>
        <w:t>1. Folder Overview — BP Variable SRF Catalogue</w:t>
      </w:r>
    </w:p>
    <w:p>
      <w:pPr>
        <w:spacing w:before="0" w:after="160"/>
      </w:pPr>
      <w:r>
        <w:rPr>
          <w:b w:val="0"/>
          <w:i w:val="0"/>
          <w:sz w:val="20"/>
        </w:rPr>
        <w:t>The 'BP Variable' folder contains 18 SRFs covering monthly variable incentive programmes for Brand Promoters (BPs). Three distinct sub-campaign types are present, each targeting different BP profiles and using different incentive mechanisms.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Sub-Campaign Type</w:t>
            </w:r>
          </w:p>
        </w:tc>
        <w:tc>
          <w:tcPr>
            <w:tcW w:type="dxa" w:w="181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SRF Count</w:t>
            </w:r>
          </w:p>
        </w:tc>
        <w:tc>
          <w:tcPr>
            <w:tcW w:type="dxa" w:w="181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Recipient</w:t>
            </w:r>
          </w:p>
        </w:tc>
        <w:tc>
          <w:tcPr>
            <w:tcW w:type="dxa" w:w="181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Period</w:t>
            </w:r>
          </w:p>
        </w:tc>
        <w:tc>
          <w:tcPr>
            <w:tcW w:type="dxa" w:w="181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Requester</w:t>
            </w:r>
          </w:p>
        </w:tc>
      </w:tr>
      <w:tr>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Standard BP Variable Incentive</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14 (incl. 1 revision)</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All BPs (Regular + LUS, by cluster)</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Apr 2025 – Apr 2026</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Istyaque Hossain, Trade Marketing</w:t>
            </w:r>
          </w:p>
        </w:tc>
      </w:tr>
      <w:tr>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Freelancer BP Variable Incentive — Central Cluster</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3</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Freelancer BPs in Central Cluster only</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Feb – Apr 2026</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Istyaque Hossain, Trade Marketing</w:t>
            </w:r>
          </w:p>
        </w:tc>
      </w:tr>
      <w:tr>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TechVan BP Variable Incentive</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1</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MDOs (TechVan BPs), handset-linked GA</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Mar 2026</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Murshida Begum Boby, Distribution Planning &amp; Operation</w:t>
            </w:r>
          </w:p>
        </w:tc>
      </w:tr>
    </w:tbl>
    <w:p/>
    <w:tbl>
      <w:tblPr>
        <w:tblStyle w:val="TableGrid"/>
        <w:tblW w:type="auto" w:w="0"/>
        <w:tblLook w:firstColumn="1" w:firstRow="1" w:lastColumn="0" w:lastRow="0" w:noHBand="0" w:noVBand="1" w:val="04A0"/>
      </w:tblPr>
      <w:tblGrid>
        <w:gridCol w:w="4536"/>
        <w:gridCol w:w="4536"/>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Recipient Product Code</w:t>
            </w:r>
          </w:p>
        </w:tc>
        <w:tc>
          <w:tcPr>
            <w:tcW w:type="dxa" w:w="6336"/>
            <w:tcBorders>
              <w:top w:val="single" w:sz="4" w:color="AAAAAA"/>
              <w:left w:val="single" w:sz="4" w:color="AAAAAA"/>
              <w:bottom w:val="single" w:sz="4" w:color="AAAAAA"/>
              <w:right w:val="single" w:sz="4" w:color="AAAAAA"/>
            </w:tcBorders>
          </w:tcPr>
          <w:p>
            <w:pPr>
              <w:jc w:val="left"/>
            </w:pPr>
            <w:r>
              <w:rPr>
                <w:b w:val="0"/>
                <w:sz w:val="18"/>
              </w:rPr>
              <w:t>BP511 (RETPOST)</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Report Manager</w:t>
            </w:r>
          </w:p>
        </w:tc>
        <w:tc>
          <w:tcPr>
            <w:tcW w:type="dxa" w:w="6336"/>
            <w:tcBorders>
              <w:top w:val="single" w:sz="4" w:color="AAAAAA"/>
              <w:left w:val="single" w:sz="4" w:color="AAAAAA"/>
              <w:bottom w:val="single" w:sz="4" w:color="AAAAAA"/>
              <w:right w:val="single" w:sz="4" w:color="AAAAAA"/>
            </w:tcBorders>
          </w:tcPr>
          <w:p>
            <w:pPr>
              <w:jc w:val="left"/>
            </w:pPr>
            <w:r>
              <w:rPr>
                <w:b w:val="0"/>
                <w:sz w:val="18"/>
              </w:rPr>
              <w:t>Md Saiful Kader (Standard/Freelancer) | Md Ziaul Haque Sumon (TechVan)</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Product Type</w:t>
            </w:r>
          </w:p>
        </w:tc>
        <w:tc>
          <w:tcPr>
            <w:tcW w:type="dxa" w:w="6336"/>
            <w:tcBorders>
              <w:top w:val="single" w:sz="4" w:color="AAAAAA"/>
              <w:left w:val="single" w:sz="4" w:color="AAAAAA"/>
              <w:bottom w:val="single" w:sz="4" w:color="AAAAAA"/>
              <w:right w:val="single" w:sz="4" w:color="AAAAAA"/>
            </w:tcBorders>
          </w:tcPr>
          <w:p>
            <w:pPr>
              <w:jc w:val="left"/>
            </w:pPr>
            <w:r>
              <w:rPr>
                <w:b w:val="0"/>
                <w:sz w:val="18"/>
              </w:rPr>
              <w:t>Prepaid (All BPs); TechVan: EV+SC, GA, LSO, SSO + TechVan KN3 &amp; KM5</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Salescom to POS Auto Upload</w:t>
            </w:r>
          </w:p>
        </w:tc>
        <w:tc>
          <w:tcPr>
            <w:tcW w:type="dxa" w:w="6336"/>
            <w:tcBorders>
              <w:top w:val="single" w:sz="4" w:color="AAAAAA"/>
              <w:left w:val="single" w:sz="4" w:color="AAAAAA"/>
              <w:bottom w:val="single" w:sz="4" w:color="AAAAAA"/>
              <w:right w:val="single" w:sz="4" w:color="AAAAAA"/>
            </w:tcBorders>
          </w:tcPr>
          <w:p>
            <w:pPr>
              <w:jc w:val="left"/>
            </w:pPr>
            <w:r>
              <w:rPr>
                <w:b w:val="0"/>
                <w:sz w:val="18"/>
              </w:rPr>
              <w:t>No (all SRFs)</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Report Sharing Slot</w:t>
            </w:r>
          </w:p>
        </w:tc>
        <w:tc>
          <w:tcPr>
            <w:tcW w:type="dxa" w:w="6336"/>
            <w:tcBorders>
              <w:top w:val="single" w:sz="4" w:color="AAAAAA"/>
              <w:left w:val="single" w:sz="4" w:color="AAAAAA"/>
              <w:bottom w:val="single" w:sz="4" w:color="AAAAAA"/>
              <w:right w:val="single" w:sz="4" w:color="AAAAAA"/>
            </w:tcBorders>
          </w:tcPr>
          <w:p>
            <w:pPr>
              <w:jc w:val="left"/>
            </w:pPr>
            <w:r>
              <w:rPr>
                <w:b w:val="0"/>
                <w:sz w:val="18"/>
              </w:rPr>
              <w:t>Disbursement (all SRFs)</w:t>
            </w:r>
          </w:p>
        </w:tc>
      </w:tr>
    </w:tbl>
    <w:p/>
    <w:p>
      <w:r>
        <w:br w:type="page"/>
      </w:r>
    </w:p>
    <w:p>
      <w:pPr>
        <w:pStyle w:val="Heading1"/>
      </w:pPr>
      <w:r>
        <w:rPr>
          <w:color w:val="1F497D"/>
        </w:rPr>
        <w:t>2. Universal / Common Conditions (All Standard BP Variable SRFs)</w:t>
      </w:r>
    </w:p>
    <w:tbl>
      <w:tblPr>
        <w:tblStyle w:val="TableGrid"/>
        <w:tblW w:type="auto" w:w="0"/>
        <w:tblLook w:firstColumn="1" w:firstRow="1" w:lastColumn="0" w:lastRow="0" w:noHBand="0" w:noVBand="1" w:val="04A0"/>
      </w:tblPr>
      <w:tblGrid>
        <w:gridCol w:w="4536"/>
        <w:gridCol w:w="4536"/>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Activation Basis</w:t>
            </w:r>
          </w:p>
        </w:tc>
        <w:tc>
          <w:tcPr>
            <w:tcW w:type="dxa" w:w="6336"/>
            <w:tcBorders>
              <w:top w:val="single" w:sz="4" w:color="AAAAAA"/>
              <w:left w:val="single" w:sz="4" w:color="AAAAAA"/>
              <w:bottom w:val="single" w:sz="4" w:color="AAAAAA"/>
              <w:right w:val="single" w:sz="4" w:color="AAAAAA"/>
            </w:tcBorders>
          </w:tcPr>
          <w:p>
            <w:pPr>
              <w:jc w:val="left"/>
            </w:pPr>
            <w:r>
              <w:rPr>
                <w:b w:val="0"/>
                <w:sz w:val="18"/>
              </w:rPr>
              <w:t>FCD (First Call Date) — activation during the promotion period</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Product Scope</w:t>
            </w:r>
          </w:p>
        </w:tc>
        <w:tc>
          <w:tcPr>
            <w:tcW w:type="dxa" w:w="6336"/>
            <w:tcBorders>
              <w:top w:val="single" w:sz="4" w:color="AAAAAA"/>
              <w:left w:val="single" w:sz="4" w:color="AAAAAA"/>
              <w:bottom w:val="single" w:sz="4" w:color="AAAAAA"/>
              <w:right w:val="single" w:sz="4" w:color="AAAAAA"/>
            </w:tcBorders>
          </w:tcPr>
          <w:p>
            <w:pPr>
              <w:jc w:val="left"/>
            </w:pPr>
            <w:r>
              <w:rPr>
                <w:b w:val="0"/>
                <w:sz w:val="18"/>
              </w:rPr>
              <w:t>Banglalink Prepaid AND All MNP (Prepaid)</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Recharge</w:t>
            </w:r>
          </w:p>
        </w:tc>
        <w:tc>
          <w:tcPr>
            <w:tcW w:type="dxa" w:w="6336"/>
            <w:tcBorders>
              <w:top w:val="single" w:sz="4" w:color="AAAAAA"/>
              <w:left w:val="single" w:sz="4" w:color="AAAAAA"/>
              <w:bottom w:val="single" w:sz="4" w:color="AAAAAA"/>
              <w:right w:val="single" w:sz="4" w:color="AAAAAA"/>
            </w:tcBorders>
          </w:tcPr>
          <w:p>
            <w:pPr>
              <w:jc w:val="left"/>
            </w:pPr>
            <w:r>
              <w:rPr>
                <w:b w:val="0"/>
                <w:sz w:val="18"/>
              </w:rPr>
              <w:t>All Valid Recharges = EV + SC Recharge (Electronic Voucher + Salescom recharge)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Disconnection</w:t>
            </w:r>
          </w:p>
        </w:tc>
        <w:tc>
          <w:tcPr>
            <w:tcW w:type="dxa" w:w="6336"/>
            <w:tcBorders>
              <w:top w:val="single" w:sz="4" w:color="AAAAAA"/>
              <w:left w:val="single" w:sz="4" w:color="AAAAAA"/>
              <w:bottom w:val="single" w:sz="4" w:color="AAAAAA"/>
              <w:right w:val="single" w:sz="4" w:color="AAAAAA"/>
            </w:tcBorders>
          </w:tcPr>
          <w:p>
            <w:pPr>
              <w:jc w:val="left"/>
            </w:pPr>
            <w:r>
              <w:rPr>
                <w:b w:val="0"/>
                <w:sz w:val="18"/>
              </w:rPr>
              <w:t>N/A — between FCD and latest data up to report generation date (T-6)</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SAF/ETSAF</w:t>
            </w:r>
          </w:p>
        </w:tc>
        <w:tc>
          <w:tcPr>
            <w:tcW w:type="dxa" w:w="6336"/>
            <w:tcBorders>
              <w:top w:val="single" w:sz="4" w:color="AAAAAA"/>
              <w:left w:val="single" w:sz="4" w:color="AAAAAA"/>
              <w:bottom w:val="single" w:sz="4" w:color="AAAAAA"/>
              <w:right w:val="single" w:sz="4" w:color="AAAAAA"/>
            </w:tcBorders>
          </w:tcPr>
          <w:p>
            <w:pPr>
              <w:jc w:val="left"/>
            </w:pPr>
            <w:r>
              <w:rPr>
                <w:b w:val="0"/>
                <w:sz w:val="18"/>
              </w:rPr>
              <w:t>ETSAF QC condition will be considered as implemented (Aug'19 policy reference)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Lifting/Issue</w:t>
            </w:r>
          </w:p>
        </w:tc>
        <w:tc>
          <w:tcPr>
            <w:tcW w:type="dxa" w:w="6336"/>
            <w:tcBorders>
              <w:top w:val="single" w:sz="4" w:color="AAAAAA"/>
              <w:left w:val="single" w:sz="4" w:color="AAAAAA"/>
              <w:bottom w:val="single" w:sz="4" w:color="AAAAAA"/>
              <w:right w:val="single" w:sz="4" w:color="AAAAAA"/>
            </w:tcBorders>
          </w:tcPr>
          <w:p>
            <w:pPr>
              <w:jc w:val="left"/>
            </w:pPr>
            <w:r>
              <w:rPr>
                <w:b w:val="0"/>
                <w:sz w:val="18"/>
              </w:rPr>
              <w:t>N/A — needs to be activated within 180 days of lifting</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Usage</w:t>
            </w:r>
          </w:p>
        </w:tc>
        <w:tc>
          <w:tcPr>
            <w:tcW w:type="dxa" w:w="6336"/>
            <w:tcBorders>
              <w:top w:val="single" w:sz="4" w:color="AAAAAA"/>
              <w:left w:val="single" w:sz="4" w:color="AAAAAA"/>
              <w:bottom w:val="single" w:sz="4" w:color="AAAAAA"/>
              <w:right w:val="single" w:sz="4" w:color="AAAAAA"/>
            </w:tcBorders>
          </w:tcPr>
          <w:p>
            <w:pPr>
              <w:jc w:val="left"/>
            </w:pPr>
            <w:r>
              <w:rPr>
                <w:b w:val="0"/>
                <w:sz w:val="18"/>
              </w:rPr>
              <w:t>Valid Usage: MOC, SMSMO, MTC, SMSMT, GPRS, MMS, Partial VAS (per IN CDR), GPRS recharge, bundle recharge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Reactivation</w:t>
            </w:r>
          </w:p>
        </w:tc>
        <w:tc>
          <w:tcPr>
            <w:tcW w:type="dxa" w:w="6336"/>
            <w:tcBorders>
              <w:top w:val="single" w:sz="4" w:color="AAAAAA"/>
              <w:left w:val="single" w:sz="4" w:color="AAAAAA"/>
              <w:bottom w:val="single" w:sz="4" w:color="AAAAAA"/>
              <w:right w:val="single" w:sz="4" w:color="AAAAAA"/>
            </w:tcBorders>
          </w:tcPr>
          <w:p>
            <w:pPr>
              <w:jc w:val="left"/>
            </w:pPr>
            <w:r>
              <w:rPr>
                <w:b w:val="0"/>
                <w:sz w:val="18"/>
              </w:rPr>
              <w:t>As per reactivation base</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Data Sources</w:t>
            </w:r>
          </w:p>
        </w:tc>
        <w:tc>
          <w:tcPr>
            <w:tcW w:type="dxa" w:w="6336"/>
            <w:tcBorders>
              <w:top w:val="single" w:sz="4" w:color="AAAAAA"/>
              <w:left w:val="single" w:sz="4" w:color="AAAAAA"/>
              <w:bottom w:val="single" w:sz="4" w:color="AAAAAA"/>
              <w:right w:val="single" w:sz="4" w:color="AAAAAA"/>
            </w:tcBorders>
          </w:tcPr>
          <w:p>
            <w:pPr>
              <w:jc w:val="left"/>
            </w:pPr>
            <w:r>
              <w:rPr>
                <w:b w:val="0"/>
                <w:sz w:val="18"/>
              </w:rPr>
              <w:t>IT SC + DWH + DMS + POS (IT BI not checked)</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GA Attribution Base</w:t>
            </w:r>
          </w:p>
        </w:tc>
        <w:tc>
          <w:tcPr>
            <w:tcW w:type="dxa" w:w="6336"/>
            <w:tcBorders>
              <w:top w:val="single" w:sz="4" w:color="AAAAAA"/>
              <w:left w:val="single" w:sz="4" w:color="AAAAAA"/>
              <w:bottom w:val="single" w:sz="4" w:color="AAAAAA"/>
              <w:right w:val="single" w:sz="4" w:color="AAAAAA"/>
            </w:tcBorders>
          </w:tcPr>
          <w:p>
            <w:pPr>
              <w:jc w:val="left"/>
            </w:pPr>
            <w:r>
              <w:rPr>
                <w:b w:val="0"/>
                <w:sz w:val="18"/>
              </w:rPr>
              <w:t>Performance extracted by Retailer wise</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Target Provider</w:t>
            </w:r>
          </w:p>
        </w:tc>
        <w:tc>
          <w:tcPr>
            <w:tcW w:type="dxa" w:w="6336"/>
            <w:tcBorders>
              <w:top w:val="single" w:sz="4" w:color="AAAAAA"/>
              <w:left w:val="single" w:sz="4" w:color="AAAAAA"/>
              <w:bottom w:val="single" w:sz="4" w:color="AAAAAA"/>
              <w:right w:val="single" w:sz="4" w:color="AAAAAA"/>
            </w:tcBorders>
          </w:tcPr>
          <w:p>
            <w:pPr>
              <w:jc w:val="left"/>
            </w:pPr>
            <w:r>
              <w:rPr>
                <w:b w:val="0"/>
                <w:sz w:val="18"/>
              </w:rPr>
              <w:t>B2C team provides BP-wise targets and achievement data</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Report Periodicity</w:t>
            </w:r>
          </w:p>
        </w:tc>
        <w:tc>
          <w:tcPr>
            <w:tcW w:type="dxa" w:w="6336"/>
            <w:tcBorders>
              <w:top w:val="single" w:sz="4" w:color="AAAAAA"/>
              <w:left w:val="single" w:sz="4" w:color="AAAAAA"/>
              <w:bottom w:val="single" w:sz="4" w:color="AAAAAA"/>
              <w:right w:val="single" w:sz="4" w:color="AAAAAA"/>
            </w:tcBorders>
          </w:tcPr>
          <w:p>
            <w:pPr>
              <w:jc w:val="left"/>
            </w:pPr>
            <w:r>
              <w:rPr>
                <w:b w:val="0"/>
                <w:sz w:val="18"/>
              </w:rPr>
              <w:t>Ad-hoc, Monthly frequency</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Maturity Date (early months)</w:t>
            </w:r>
          </w:p>
        </w:tc>
        <w:tc>
          <w:tcPr>
            <w:tcW w:type="dxa" w:w="6336"/>
            <w:tcBorders>
              <w:top w:val="single" w:sz="4" w:color="AAAAAA"/>
              <w:left w:val="single" w:sz="4" w:color="AAAAAA"/>
              <w:bottom w:val="single" w:sz="4" w:color="AAAAAA"/>
              <w:right w:val="single" w:sz="4" w:color="AAAAAA"/>
            </w:tcBorders>
          </w:tcPr>
          <w:p>
            <w:pPr>
              <w:jc w:val="left"/>
            </w:pPr>
            <w:r>
              <w:rPr>
                <w:b w:val="0"/>
                <w:sz w:val="18"/>
              </w:rPr>
              <w:t>1st of following month (Apr–Jun 2025)</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Maturity Date (later months)</w:t>
            </w:r>
          </w:p>
        </w:tc>
        <w:tc>
          <w:tcPr>
            <w:tcW w:type="dxa" w:w="6336"/>
            <w:tcBorders>
              <w:top w:val="single" w:sz="4" w:color="AAAAAA"/>
              <w:left w:val="single" w:sz="4" w:color="AAAAAA"/>
              <w:bottom w:val="single" w:sz="4" w:color="AAAAAA"/>
              <w:right w:val="single" w:sz="4" w:color="AAAAAA"/>
            </w:tcBorders>
          </w:tcPr>
          <w:p>
            <w:pPr>
              <w:jc w:val="left"/>
            </w:pPr>
            <w:r>
              <w:rPr>
                <w:b w:val="0"/>
                <w:sz w:val="18"/>
              </w:rPr>
              <w:t>8th of following month (Jul 2025 onward); 3rd for some Apr 2026 SRFs</w:t>
            </w:r>
          </w:p>
        </w:tc>
      </w:tr>
    </w:tbl>
    <w:p/>
    <w:p>
      <w:r>
        <w:br w:type="page"/>
      </w:r>
    </w:p>
    <w:p>
      <w:pPr>
        <w:pStyle w:val="Heading1"/>
      </w:pPr>
      <w:r>
        <w:rPr>
          <w:color w:val="1F497D"/>
        </w:rPr>
        <w:t>3. KPI 1 — GA Variable Incentive (Core KPI)</w:t>
      </w:r>
    </w:p>
    <w:p>
      <w:pPr>
        <w:spacing w:before="0" w:after="160"/>
      </w:pPr>
      <w:r>
        <w:rPr>
          <w:b w:val="0"/>
          <w:i w:val="0"/>
          <w:sz w:val="20"/>
        </w:rPr>
        <w:t>The primary KPI across all 14 standard BP Variable SRFs. A BP earns variable incentive BDT per additional GA beyond their monthly target, up to a capped maximum.</w:t>
      </w:r>
    </w:p>
    <w:tbl>
      <w:tblPr>
        <w:tblStyle w:val="TableGrid"/>
        <w:tblW w:type="auto" w:w="0"/>
        <w:tblLook w:firstColumn="1" w:firstRow="1" w:lastColumn="0" w:lastRow="0" w:noHBand="0" w:noVBand="1" w:val="04A0"/>
      </w:tblPr>
      <w:tblGrid>
        <w:gridCol w:w="4536"/>
        <w:gridCol w:w="4536"/>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336"/>
            <w:tcBorders>
              <w:top w:val="single" w:sz="4" w:color="AAAAAA"/>
              <w:left w:val="single" w:sz="4" w:color="AAAAAA"/>
              <w:bottom w:val="single" w:sz="4" w:color="AAAAAA"/>
              <w:right w:val="single" w:sz="4" w:color="AAAAAA"/>
            </w:tcBorders>
          </w:tcPr>
          <w:p>
            <w:pPr>
              <w:jc w:val="left"/>
            </w:pPr>
            <w:r>
              <w:rPr>
                <w:b w:val="0"/>
                <w:sz w:val="18"/>
              </w:rPr>
              <w:t>GA Variable Incentive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Trigger</w:t>
            </w:r>
          </w:p>
        </w:tc>
        <w:tc>
          <w:tcPr>
            <w:tcW w:type="dxa" w:w="6336"/>
            <w:tcBorders>
              <w:top w:val="single" w:sz="4" w:color="AAAAAA"/>
              <w:left w:val="single" w:sz="4" w:color="AAAAAA"/>
              <w:bottom w:val="single" w:sz="4" w:color="AAAAAA"/>
              <w:right w:val="single" w:sz="4" w:color="AAAAAA"/>
            </w:tcBorders>
          </w:tcPr>
          <w:p>
            <w:pPr>
              <w:jc w:val="left"/>
            </w:pPr>
            <w:r>
              <w:rPr>
                <w:b w:val="0"/>
                <w:sz w:val="18"/>
              </w:rPr>
              <w:t>After achieving monthly GA target, each additional GA earns a fixed BDT rate</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Assessment Window</w:t>
            </w:r>
          </w:p>
        </w:tc>
        <w:tc>
          <w:tcPr>
            <w:tcW w:type="dxa" w:w="6336"/>
            <w:tcBorders>
              <w:top w:val="single" w:sz="4" w:color="AAAAAA"/>
              <w:left w:val="single" w:sz="4" w:color="AAAAAA"/>
              <w:bottom w:val="single" w:sz="4" w:color="AAAAAA"/>
              <w:right w:val="single" w:sz="4" w:color="AAAAAA"/>
            </w:tcBorders>
          </w:tcPr>
          <w:p>
            <w:pPr>
              <w:jc w:val="left"/>
            </w:pPr>
            <w:r>
              <w:rPr>
                <w:b w:val="0"/>
                <w:sz w:val="18"/>
              </w:rPr>
              <w:t>Only first N GA of the month are assessed (both fixed + variable salary)</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Variable Range</w:t>
            </w:r>
          </w:p>
        </w:tc>
        <w:tc>
          <w:tcPr>
            <w:tcW w:type="dxa" w:w="6336"/>
            <w:tcBorders>
              <w:top w:val="single" w:sz="4" w:color="AAAAAA"/>
              <w:left w:val="single" w:sz="4" w:color="AAAAAA"/>
              <w:bottom w:val="single" w:sz="4" w:color="AAAAAA"/>
              <w:right w:val="single" w:sz="4" w:color="AAAAAA"/>
            </w:tcBorders>
          </w:tcPr>
          <w:p>
            <w:pPr>
              <w:jc w:val="left"/>
            </w:pPr>
            <w:r>
              <w:rPr>
                <w:b w:val="0"/>
                <w:sz w:val="18"/>
              </w:rPr>
              <w:t>Post-target GA range defines the eligible additional GA (e.g., 51–120 GA)</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Max Additional GA</w:t>
            </w:r>
          </w:p>
        </w:tc>
        <w:tc>
          <w:tcPr>
            <w:tcW w:type="dxa" w:w="6336"/>
            <w:tcBorders>
              <w:top w:val="single" w:sz="4" w:color="AAAAAA"/>
              <w:left w:val="single" w:sz="4" w:color="AAAAAA"/>
              <w:bottom w:val="single" w:sz="4" w:color="AAAAAA"/>
              <w:right w:val="single" w:sz="4" w:color="AAAAAA"/>
            </w:tcBorders>
          </w:tcPr>
          <w:p>
            <w:pPr>
              <w:jc w:val="left"/>
            </w:pPr>
            <w:r>
              <w:rPr>
                <w:b w:val="0"/>
                <w:sz w:val="18"/>
              </w:rPr>
              <w:t>Capped at a maximum number of extra GA for variable pay</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Rate Unit</w:t>
            </w:r>
          </w:p>
        </w:tc>
        <w:tc>
          <w:tcPr>
            <w:tcW w:type="dxa" w:w="6336"/>
            <w:tcBorders>
              <w:top w:val="single" w:sz="4" w:color="AAAAAA"/>
              <w:left w:val="single" w:sz="4" w:color="AAAAAA"/>
              <w:bottom w:val="single" w:sz="4" w:color="AAAAAA"/>
              <w:right w:val="single" w:sz="4" w:color="AAAAAA"/>
            </w:tcBorders>
          </w:tcPr>
          <w:p>
            <w:pPr>
              <w:jc w:val="left"/>
            </w:pPr>
            <w:r>
              <w:rPr>
                <w:b w:val="0"/>
                <w:sz w:val="18"/>
              </w:rPr>
              <w:t>BDT per additional GA (varies by BP type, market type, and month)</w:t>
            </w:r>
          </w:p>
        </w:tc>
      </w:tr>
    </w:tbl>
    <w:p/>
    <w:p>
      <w:pPr>
        <w:pStyle w:val="Heading2"/>
      </w:pPr>
      <w:r>
        <w:rPr>
          <w:color w:val="1F497D"/>
        </w:rPr>
        <w:t>3.1 BP Type Classification: Regular BP vs LUS BP</w:t>
      </w:r>
    </w:p>
    <w:p>
      <w:pPr>
        <w:spacing w:before="0" w:after="120"/>
      </w:pPr>
      <w:r>
        <w:rPr>
          <w:b w:val="0"/>
          <w:i w:val="0"/>
          <w:sz w:val="20"/>
        </w:rPr>
        <w:t>From July 2025, BPs were split into two types with different ranges and rates:</w:t>
      </w:r>
    </w:p>
    <w:tbl>
      <w:tblPr>
        <w:tblStyle w:val="TableGrid"/>
        <w:tblW w:type="auto" w:w="0"/>
        <w:tblLook w:firstColumn="1" w:firstRow="1" w:lastColumn="0" w:lastRow="0" w:noHBand="0" w:noVBand="1" w:val="04A0"/>
      </w:tblPr>
      <w:tblGrid>
        <w:gridCol w:w="4536"/>
        <w:gridCol w:w="4536"/>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Regular BP</w:t>
            </w:r>
          </w:p>
        </w:tc>
        <w:tc>
          <w:tcPr>
            <w:tcW w:type="dxa" w:w="6336"/>
            <w:tcBorders>
              <w:top w:val="single" w:sz="4" w:color="AAAAAA"/>
              <w:left w:val="single" w:sz="4" w:color="AAAAAA"/>
              <w:bottom w:val="single" w:sz="4" w:color="AAAAAA"/>
              <w:right w:val="single" w:sz="4" w:color="AAAAAA"/>
            </w:tcBorders>
          </w:tcPr>
          <w:p>
            <w:pPr>
              <w:jc w:val="left"/>
            </w:pPr>
            <w:r>
              <w:rPr>
                <w:b w:val="0"/>
                <w:sz w:val="18"/>
              </w:rPr>
              <w:t>Standard brand promoter; higher activation floor for variable range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LUS BP</w:t>
            </w:r>
          </w:p>
        </w:tc>
        <w:tc>
          <w:tcPr>
            <w:tcW w:type="dxa" w:w="6336"/>
            <w:tcBorders>
              <w:top w:val="single" w:sz="4" w:color="AAAAAA"/>
              <w:left w:val="single" w:sz="4" w:color="AAAAAA"/>
              <w:bottom w:val="single" w:sz="4" w:color="AAAAAA"/>
              <w:right w:val="single" w:sz="4" w:color="AAAAAA"/>
            </w:tcBorders>
          </w:tcPr>
          <w:p>
            <w:pPr>
              <w:jc w:val="left"/>
            </w:pPr>
            <w:r>
              <w:rPr>
                <w:b w:val="0"/>
                <w:sz w:val="18"/>
              </w:rPr>
              <w:t>Low Urban / Special segment BP; slightly lower floor and cap; same rate from Aug 2025 onward</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Target File Flag</w:t>
            </w:r>
          </w:p>
        </w:tc>
        <w:tc>
          <w:tcPr>
            <w:tcW w:type="dxa" w:w="6336"/>
            <w:tcBorders>
              <w:top w:val="single" w:sz="4" w:color="AAAAAA"/>
              <w:left w:val="single" w:sz="4" w:color="AAAAAA"/>
              <w:bottom w:val="single" w:sz="4" w:color="AAAAAA"/>
              <w:right w:val="single" w:sz="4" w:color="AAAAAA"/>
            </w:tcBorders>
          </w:tcPr>
          <w:p>
            <w:pPr>
              <w:jc w:val="left"/>
            </w:pPr>
            <w:r>
              <w:rPr>
                <w:b w:val="0"/>
                <w:sz w:val="18"/>
              </w:rPr>
              <w:t>B2C flags each BP as 'Regular BP' or 'LUS BP' in the target file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Applicable From</w:t>
            </w:r>
          </w:p>
        </w:tc>
        <w:tc>
          <w:tcPr>
            <w:tcW w:type="dxa" w:w="6336"/>
            <w:tcBorders>
              <w:top w:val="single" w:sz="4" w:color="AAAAAA"/>
              <w:left w:val="single" w:sz="4" w:color="AAAAAA"/>
              <w:bottom w:val="single" w:sz="4" w:color="AAAAAA"/>
              <w:right w:val="single" w:sz="4" w:color="AAAAAA"/>
            </w:tcBorders>
          </w:tcPr>
          <w:p>
            <w:pPr>
              <w:jc w:val="left"/>
            </w:pPr>
            <w:r>
              <w:rPr>
                <w:b w:val="0"/>
                <w:sz w:val="18"/>
              </w:rPr>
              <w:t>July 2025 (Apr–Jun 2025 had a single unified type with no LUS distinction)</w:t>
            </w:r>
          </w:p>
        </w:tc>
      </w:tr>
    </w:tbl>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Month</w:t>
            </w:r>
          </w:p>
        </w:tc>
        <w:tc>
          <w:tcPr>
            <w:tcW w:type="dxa" w:w="1512"/>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BP Type</w:t>
            </w:r>
          </w:p>
        </w:tc>
        <w:tc>
          <w:tcPr>
            <w:tcW w:type="dxa" w:w="1512"/>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Rate (BDT/GA)</w:t>
            </w:r>
          </w:p>
        </w:tc>
        <w:tc>
          <w:tcPr>
            <w:tcW w:type="dxa" w:w="1512"/>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Variable GA Range</w:t>
            </w:r>
          </w:p>
        </w:tc>
        <w:tc>
          <w:tcPr>
            <w:tcW w:type="dxa" w:w="1512"/>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Max Additional GA</w:t>
            </w:r>
          </w:p>
        </w:tc>
        <w:tc>
          <w:tcPr>
            <w:tcW w:type="dxa" w:w="1512"/>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Max Assessed GA</w:t>
            </w:r>
          </w:p>
        </w:tc>
      </w:tr>
      <w:tr>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Apr 2025</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Single type</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250</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11–20 GA (FR qualified)</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10 additional</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20</w:t>
            </w:r>
          </w:p>
        </w:tc>
      </w:tr>
      <w:tr>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May 2025</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Single type</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85</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51–120 GA</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70 additional</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120</w:t>
            </w:r>
          </w:p>
        </w:tc>
      </w:tr>
      <w:tr>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Jun 2025</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Single type</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85</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51–120 GA</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70 additional</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120</w:t>
            </w:r>
          </w:p>
        </w:tc>
      </w:tr>
      <w:tr>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Jul 2025</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Regular BP</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85</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51–120 GA</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70 additional</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120</w:t>
            </w:r>
          </w:p>
        </w:tc>
      </w:tr>
      <w:tr>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Jul 2025</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LUS BP</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100</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41–100 GA</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60 additional</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100</w:t>
            </w:r>
          </w:p>
        </w:tc>
      </w:tr>
      <w:tr>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Aug 2025</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Regular BP</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100</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61–120 GA</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60 additional</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120</w:t>
            </w:r>
          </w:p>
        </w:tc>
      </w:tr>
      <w:tr>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Aug 2025</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LUS BP</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100</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51–110 GA</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60 additional</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110</w:t>
            </w:r>
          </w:p>
        </w:tc>
      </w:tr>
      <w:tr>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Sep 2025</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Regular BP</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100</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61–120 GA</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60 additional</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120</w:t>
            </w:r>
          </w:p>
        </w:tc>
      </w:tr>
      <w:tr>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Sep 2025</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LUS BP</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100</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51–110 GA</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60 additional</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110</w:t>
            </w:r>
          </w:p>
        </w:tc>
      </w:tr>
      <w:tr>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Oct 2025</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Regular BP</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100</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61–120 GA</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60 additional</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120</w:t>
            </w:r>
          </w:p>
        </w:tc>
      </w:tr>
      <w:tr>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Oct 2025</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LUS BP</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100</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51–110 GA</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60 additional</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110</w:t>
            </w:r>
          </w:p>
        </w:tc>
      </w:tr>
    </w:tbl>
    <w:p/>
    <w:p>
      <w:pPr>
        <w:spacing w:after="120"/>
        <w:ind w:left="432"/>
      </w:pPr>
      <w:r>
        <w:rPr>
          <w:i/>
          <w:color w:val="804000"/>
          <w:sz w:val="18"/>
        </w:rPr>
        <w:t>Note: Apr 2025 was unique — variable incentive applied only to FR-qualified GA (specific FR codes 48/81/222/224/104), not all GA. See Section 7.</w:t>
      </w:r>
    </w:p>
    <w:p>
      <w:pPr>
        <w:pStyle w:val="Heading2"/>
      </w:pPr>
      <w:r>
        <w:rPr>
          <w:color w:val="1F497D"/>
        </w:rPr>
        <w:t>3.2 Market Classification: Core Market vs Emerging Market (from Nov 2025)</w:t>
      </w:r>
    </w:p>
    <w:p>
      <w:pPr>
        <w:spacing w:before="0" w:after="120"/>
      </w:pPr>
      <w:r>
        <w:rPr>
          <w:b w:val="0"/>
          <w:i w:val="0"/>
          <w:sz w:val="20"/>
        </w:rPr>
        <w:t>From November 2025, the Regular BP and LUS BP types were replaced by a Market-based classification (Core vs Emerging) for non-Central Cluster BPs:</w:t>
      </w:r>
    </w:p>
    <w:tbl>
      <w:tblPr>
        <w:tblStyle w:val="TableGrid"/>
        <w:tblW w:type="auto" w:w="0"/>
        <w:tblLook w:firstColumn="1" w:firstRow="1" w:lastColumn="0" w:lastRow="0" w:noHBand="0" w:noVBand="1" w:val="04A0"/>
      </w:tblPr>
      <w:tblGrid>
        <w:gridCol w:w="4536"/>
        <w:gridCol w:w="4536"/>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Core Market</w:t>
            </w:r>
          </w:p>
        </w:tc>
        <w:tc>
          <w:tcPr>
            <w:tcW w:type="dxa" w:w="6336"/>
            <w:tcBorders>
              <w:top w:val="single" w:sz="4" w:color="AAAAAA"/>
              <w:left w:val="single" w:sz="4" w:color="AAAAAA"/>
              <w:bottom w:val="single" w:sz="4" w:color="AAAAAA"/>
              <w:right w:val="single" w:sz="4" w:color="AAAAAA"/>
            </w:tcBorders>
          </w:tcPr>
          <w:p>
            <w:pPr>
              <w:jc w:val="left"/>
            </w:pPr>
            <w:r>
              <w:rPr>
                <w:b w:val="0"/>
                <w:sz w:val="18"/>
              </w:rPr>
              <w:t>Lower activation floor; for BPs in well-established markets</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Emerging Market</w:t>
            </w:r>
          </w:p>
        </w:tc>
        <w:tc>
          <w:tcPr>
            <w:tcW w:type="dxa" w:w="6336"/>
            <w:tcBorders>
              <w:top w:val="single" w:sz="4" w:color="AAAAAA"/>
              <w:left w:val="single" w:sz="4" w:color="AAAAAA"/>
              <w:bottom w:val="single" w:sz="4" w:color="AAAAAA"/>
              <w:right w:val="single" w:sz="4" w:color="AAAAAA"/>
            </w:tcBorders>
          </w:tcPr>
          <w:p>
            <w:pPr>
              <w:jc w:val="left"/>
            </w:pPr>
            <w:r>
              <w:rPr>
                <w:b w:val="0"/>
                <w:sz w:val="18"/>
              </w:rPr>
              <w:t>Higher activation floor; for BPs in growth markets</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Purpose</w:t>
            </w:r>
          </w:p>
        </w:tc>
        <w:tc>
          <w:tcPr>
            <w:tcW w:type="dxa" w:w="6336"/>
            <w:tcBorders>
              <w:top w:val="single" w:sz="4" w:color="AAAAAA"/>
              <w:left w:val="single" w:sz="4" w:color="AAAAAA"/>
              <w:bottom w:val="single" w:sz="4" w:color="AAAAAA"/>
              <w:right w:val="single" w:sz="4" w:color="AAAAAA"/>
            </w:tcBorders>
          </w:tcPr>
          <w:p>
            <w:pPr>
              <w:jc w:val="left"/>
            </w:pPr>
            <w:r>
              <w:rPr>
                <w:b w:val="0"/>
                <w:sz w:val="18"/>
              </w:rPr>
              <w:t>Differentiates incentive eligibility based on market maturity — emerging market BPs need higher volume to start earning variable pay</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Applicable From</w:t>
            </w:r>
          </w:p>
        </w:tc>
        <w:tc>
          <w:tcPr>
            <w:tcW w:type="dxa" w:w="6336"/>
            <w:tcBorders>
              <w:top w:val="single" w:sz="4" w:color="AAAAAA"/>
              <w:left w:val="single" w:sz="4" w:color="AAAAAA"/>
              <w:bottom w:val="single" w:sz="4" w:color="AAAAAA"/>
              <w:right w:val="single" w:sz="4" w:color="AAAAAA"/>
            </w:tcBorders>
          </w:tcPr>
          <w:p>
            <w:pPr>
              <w:jc w:val="left"/>
            </w:pPr>
            <w:r>
              <w:rPr>
                <w:b w:val="0"/>
                <w:sz w:val="18"/>
              </w:rPr>
              <w:t>November 2025 (replaces Regular/LUS BP split for non-Central clusters)</w:t>
            </w:r>
          </w:p>
        </w:tc>
      </w:tr>
    </w:tbl>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Month</w:t>
            </w:r>
          </w:p>
        </w:tc>
        <w:tc>
          <w:tcPr>
            <w:tcW w:type="dxa" w:w="12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Cluster</w:t>
            </w:r>
          </w:p>
        </w:tc>
        <w:tc>
          <w:tcPr>
            <w:tcW w:type="dxa" w:w="12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BP Class</w:t>
            </w:r>
          </w:p>
        </w:tc>
        <w:tc>
          <w:tcPr>
            <w:tcW w:type="dxa" w:w="12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Rate (BDT/GA)</w:t>
            </w:r>
          </w:p>
        </w:tc>
        <w:tc>
          <w:tcPr>
            <w:tcW w:type="dxa" w:w="12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Core Variable Range</w:t>
            </w:r>
          </w:p>
        </w:tc>
        <w:tc>
          <w:tcPr>
            <w:tcW w:type="dxa" w:w="12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Emerging Variable Range</w:t>
            </w:r>
          </w:p>
        </w:tc>
        <w:tc>
          <w:tcPr>
            <w:tcW w:type="dxa" w:w="12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Max Additional GA</w:t>
            </w:r>
          </w:p>
        </w:tc>
      </w:tr>
      <w:tr>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Nov 2025</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All except Central</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Regular BP</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100</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71–140 GA</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81–150 GA</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70</w:t>
            </w:r>
          </w:p>
        </w:tc>
      </w:tr>
      <w:tr>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Nov 2025</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All except Central</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LUS BP</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100</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61–130 GA</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71–140 GA</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70</w:t>
            </w:r>
          </w:p>
        </w:tc>
      </w:tr>
      <w:tr>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Dec 2025</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All except Central</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Regular BP</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100</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71–130 GA</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81–140 GA</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60</w:t>
            </w:r>
          </w:p>
        </w:tc>
      </w:tr>
      <w:tr>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Dec 2025</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All except Central</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LUS BP</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100</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61–120 GA</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71–130 GA</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60</w:t>
            </w:r>
          </w:p>
        </w:tc>
      </w:tr>
      <w:tr>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Jan 2026</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Rest Cluster (non-Central)</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Core/Emerging</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100</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71–150 GA</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81–160 GA</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80</w:t>
            </w:r>
          </w:p>
        </w:tc>
      </w:tr>
      <w:tr>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Feb 2026</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Rest Cluster (non-Central)</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Core/Emerging</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100</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71–150 GA</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81–160 GA</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80</w:t>
            </w:r>
          </w:p>
        </w:tc>
      </w:tr>
      <w:tr>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Mar 2026</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Rest Cluster (non-Central)</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Core/Emerging</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100</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71–150 GA</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81–160 GA</w:t>
            </w:r>
          </w:p>
        </w:tc>
        <w:tc>
          <w:tcPr>
            <w:tcW w:type="dxa" w:w="1296"/>
            <w:shd w:val="clear" w:color="auto" w:fill="EBF3FB"/>
            <w:tcBorders>
              <w:top w:val="single" w:sz="4" w:color="AAAAAA"/>
              <w:left w:val="single" w:sz="4" w:color="AAAAAA"/>
              <w:bottom w:val="single" w:sz="4" w:color="AAAAAA"/>
              <w:right w:val="single" w:sz="4" w:color="AAAAAA"/>
            </w:tcBorders>
          </w:tcPr>
          <w:p>
            <w:pPr>
              <w:jc w:val="left"/>
            </w:pPr>
            <w:r>
              <w:rPr>
                <w:b w:val="0"/>
                <w:sz w:val="18"/>
              </w:rPr>
              <w:t>80</w:t>
            </w:r>
          </w:p>
        </w:tc>
      </w:tr>
      <w:tr>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Apr 2026</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Rest Cluster (exc. Barisal/KO/Jessore)</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Core/Emerging</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100</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71–150 GA</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81–160 GA</w:t>
            </w:r>
          </w:p>
        </w:tc>
        <w:tc>
          <w:tcPr>
            <w:tcW w:type="dxa" w:w="1296"/>
            <w:shd w:val="clear" w:color="auto" w:fill="FFFFFF"/>
            <w:tcBorders>
              <w:top w:val="single" w:sz="4" w:color="AAAAAA"/>
              <w:left w:val="single" w:sz="4" w:color="AAAAAA"/>
              <w:bottom w:val="single" w:sz="4" w:color="AAAAAA"/>
              <w:right w:val="single" w:sz="4" w:color="AAAAAA"/>
            </w:tcBorders>
          </w:tcPr>
          <w:p>
            <w:pPr>
              <w:jc w:val="left"/>
            </w:pPr>
            <w:r>
              <w:rPr>
                <w:b w:val="0"/>
                <w:sz w:val="18"/>
              </w:rPr>
              <w:t>80</w:t>
            </w:r>
          </w:p>
        </w:tc>
      </w:tr>
    </w:tbl>
    <w:p/>
    <w:p>
      <w:pPr>
        <w:pStyle w:val="Heading2"/>
      </w:pPr>
      <w:r>
        <w:rPr>
          <w:color w:val="1F497D"/>
        </w:rPr>
        <w:t>3.3 Cluster-Based GA Attribution: FCD vs FCD+SMART POS</w:t>
      </w:r>
    </w:p>
    <w:p>
      <w:pPr>
        <w:spacing w:before="0" w:after="120"/>
      </w:pPr>
      <w:r>
        <w:rPr>
          <w:b w:val="0"/>
          <w:i w:val="0"/>
          <w:sz w:val="20"/>
        </w:rPr>
        <w:t>GA attribution method varies by cluster. Two methods were used, and which clusters used which method evolved over the months:</w:t>
      </w:r>
    </w:p>
    <w:tbl>
      <w:tblPr>
        <w:tblStyle w:val="TableGrid"/>
        <w:tblW w:type="auto" w:w="0"/>
        <w:tblLook w:firstColumn="1" w:firstRow="1" w:lastColumn="0" w:lastRow="0" w:noHBand="0" w:noVBand="1" w:val="04A0"/>
      </w:tblPr>
      <w:tblGrid>
        <w:gridCol w:w="4536"/>
        <w:gridCol w:w="4536"/>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Method A: FCD Only</w:t>
            </w:r>
          </w:p>
        </w:tc>
        <w:tc>
          <w:tcPr>
            <w:tcW w:type="dxa" w:w="6336"/>
            <w:tcBorders>
              <w:top w:val="single" w:sz="4" w:color="AAAAAA"/>
              <w:left w:val="single" w:sz="4" w:color="AAAAAA"/>
              <w:bottom w:val="single" w:sz="4" w:color="AAAAAA"/>
              <w:right w:val="single" w:sz="4" w:color="AAAAAA"/>
            </w:tcBorders>
          </w:tcPr>
          <w:p>
            <w:pPr>
              <w:jc w:val="left"/>
            </w:pPr>
            <w:r>
              <w:rPr>
                <w:b w:val="0"/>
                <w:sz w:val="18"/>
              </w:rPr>
              <w:t>GA = First Call Date records attributed to BP's designated retailer codes. Used in clusters with mature data infrastructure.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Method B: FCD + SMART POS (CODE: ARRANGED-3)</w:t>
            </w:r>
          </w:p>
        </w:tc>
        <w:tc>
          <w:tcPr>
            <w:tcW w:type="dxa" w:w="6336"/>
            <w:tcBorders>
              <w:top w:val="single" w:sz="4" w:color="AAAAAA"/>
              <w:left w:val="single" w:sz="4" w:color="AAAAAA"/>
              <w:bottom w:val="single" w:sz="4" w:color="AAAAAA"/>
              <w:right w:val="single" w:sz="4" w:color="AAAAAA"/>
            </w:tcBorders>
          </w:tcPr>
          <w:p>
            <w:pPr>
              <w:jc w:val="left"/>
            </w:pPr>
            <w:r>
              <w:rPr>
                <w:b w:val="0"/>
                <w:sz w:val="18"/>
              </w:rPr>
              <w:t>GA = Designated Retailer FCD data OR SMART POS data, whichever is higher. Used where SMART POS coverage supplements FCD data.</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SMART POS Code</w:t>
            </w:r>
          </w:p>
        </w:tc>
        <w:tc>
          <w:tcPr>
            <w:tcW w:type="dxa" w:w="6336"/>
            <w:tcBorders>
              <w:top w:val="single" w:sz="4" w:color="AAAAAA"/>
              <w:left w:val="single" w:sz="4" w:color="AAAAAA"/>
              <w:bottom w:val="single" w:sz="4" w:color="AAAAAA"/>
              <w:right w:val="single" w:sz="4" w:color="AAAAAA"/>
            </w:tcBorders>
          </w:tcPr>
          <w:p>
            <w:pPr>
              <w:jc w:val="left"/>
            </w:pPr>
            <w:r>
              <w:rPr>
                <w:b w:val="0"/>
                <w:sz w:val="18"/>
              </w:rPr>
              <w:t>ARRANGED-3</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BP Retailer Code Source</w:t>
            </w:r>
          </w:p>
        </w:tc>
        <w:tc>
          <w:tcPr>
            <w:tcW w:type="dxa" w:w="6336"/>
            <w:tcBorders>
              <w:top w:val="single" w:sz="4" w:color="AAAAAA"/>
              <w:left w:val="single" w:sz="4" w:color="AAAAAA"/>
              <w:bottom w:val="single" w:sz="4" w:color="AAAAAA"/>
              <w:right w:val="single" w:sz="4" w:color="AAAAAA"/>
            </w:tcBorders>
          </w:tcPr>
          <w:p>
            <w:pPr>
              <w:jc w:val="left"/>
            </w:pPr>
            <w:r>
              <w:rPr>
                <w:b w:val="0"/>
                <w:sz w:val="18"/>
              </w:rPr>
              <w:t>B2C shares BP-wise retailer codes</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Month</w:t>
            </w:r>
          </w:p>
        </w:tc>
        <w:tc>
          <w:tcPr>
            <w:tcW w:type="dxa" w:w="302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FCD Only Clusters</w:t>
            </w:r>
          </w:p>
        </w:tc>
        <w:tc>
          <w:tcPr>
            <w:tcW w:type="dxa" w:w="302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FCD + SMART POS Clusters</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Apr 2025</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All clusters (single method — higher of FCD or SMART POS used universally)</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May–Jun 2025</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All clusters (BP Wise Retailer code from B2C; no cluster split)</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Jul 2025</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North, North East, West Cluster</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East, Central Cluster</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Aug 2025 (original)</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North, North East, West Cluster</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East, Central Cluster</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Aug 2025 (Revision)</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All clusters EXCEPT North</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North Cluster only (FCD+SMART POS added)</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Sep 2025</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North East, West Cluster</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East, North, Central Cluster</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Oct 2025</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North East, West Cluster</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East, North, Central Cluster</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Nov 2025 onward</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Not specified per cluster — GA per BP Code GA</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Unified method</w:t>
            </w:r>
          </w:p>
        </w:tc>
      </w:tr>
    </w:tbl>
    <w:p/>
    <w:p>
      <w:pPr>
        <w:spacing w:after="120"/>
        <w:ind w:left="432"/>
      </w:pPr>
      <w:r>
        <w:rPr>
          <w:i/>
          <w:color w:val="804000"/>
          <w:sz w:val="18"/>
        </w:rPr>
        <w:t>Note: The Aug 2025 Revision SRF is notable: it changed the North Cluster from FCD-only to FCD+SMART POS, reversing the original Aug 2025 assignment for that cluster.</w:t>
      </w:r>
    </w:p>
    <w:p>
      <w:pPr>
        <w:pStyle w:val="Heading2"/>
      </w:pPr>
      <w:r>
        <w:rPr>
          <w:color w:val="1F497D"/>
        </w:rPr>
        <w:t>3.4 GA Counting Range and Cap Evolution</w:t>
      </w:r>
    </w:p>
    <w:p>
      <w:pPr>
        <w:spacing w:before="0" w:after="120"/>
      </w:pPr>
      <w:r>
        <w:rPr>
          <w:b w:val="0"/>
          <w:i w:val="0"/>
          <w:sz w:val="20"/>
        </w:rPr>
        <w:t>The assessment window (how many total GA count for both fixed and variable pay) and the variable range evolved significantly:</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Month</w:t>
            </w:r>
          </w:p>
        </w:tc>
        <w:tc>
          <w:tcPr>
            <w:tcW w:type="dxa" w:w="181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Max Assessed GA (Regular/Core)</w:t>
            </w:r>
          </w:p>
        </w:tc>
        <w:tc>
          <w:tcPr>
            <w:tcW w:type="dxa" w:w="181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Max Assessed GA (LUS/Emerging)</w:t>
            </w:r>
          </w:p>
        </w:tc>
        <w:tc>
          <w:tcPr>
            <w:tcW w:type="dxa" w:w="181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Variable Range Start (Regular)</w:t>
            </w:r>
          </w:p>
        </w:tc>
        <w:tc>
          <w:tcPr>
            <w:tcW w:type="dxa" w:w="181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Rate (BDT/GA)</w:t>
            </w:r>
          </w:p>
        </w:tc>
      </w:tr>
      <w:tr>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Apr 2025</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20 GA (FR-qualified only)</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N/A</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11th GA</w:t>
            </w:r>
          </w:p>
        </w:tc>
        <w:tc>
          <w:tcPr>
            <w:tcW w:type="dxa" w:w="1814"/>
            <w:shd w:val="clear" w:color="auto" w:fill="FFF2CC"/>
            <w:tcBorders>
              <w:top w:val="single" w:sz="4" w:color="AAAAAA"/>
              <w:left w:val="single" w:sz="4" w:color="AAAAAA"/>
              <w:bottom w:val="single" w:sz="4" w:color="AAAAAA"/>
              <w:right w:val="single" w:sz="4" w:color="AAAAAA"/>
            </w:tcBorders>
          </w:tcPr>
          <w:p>
            <w:pPr>
              <w:jc w:val="left"/>
            </w:pPr>
            <w:r>
              <w:rPr>
                <w:b w:val="0"/>
                <w:sz w:val="18"/>
              </w:rPr>
              <w:t>250</w:t>
            </w:r>
          </w:p>
        </w:tc>
      </w:tr>
      <w:tr>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May–Jun 2025</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120 GA</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N/A</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51st GA</w:t>
            </w:r>
          </w:p>
        </w:tc>
        <w:tc>
          <w:tcPr>
            <w:tcW w:type="dxa" w:w="1814"/>
            <w:shd w:val="clear" w:color="auto" w:fill="FFF2CC"/>
            <w:tcBorders>
              <w:top w:val="single" w:sz="4" w:color="AAAAAA"/>
              <w:left w:val="single" w:sz="4" w:color="AAAAAA"/>
              <w:bottom w:val="single" w:sz="4" w:color="AAAAAA"/>
              <w:right w:val="single" w:sz="4" w:color="AAAAAA"/>
            </w:tcBorders>
          </w:tcPr>
          <w:p>
            <w:pPr>
              <w:jc w:val="left"/>
            </w:pPr>
            <w:r>
              <w:rPr>
                <w:b w:val="0"/>
                <w:sz w:val="18"/>
              </w:rPr>
              <w:t>85</w:t>
            </w:r>
          </w:p>
        </w:tc>
      </w:tr>
      <w:tr>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Jul 2025</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120 GA</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100 GA</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51st GA (Regular) / 41st GA (LUS)</w:t>
            </w:r>
          </w:p>
        </w:tc>
        <w:tc>
          <w:tcPr>
            <w:tcW w:type="dxa" w:w="1814"/>
            <w:shd w:val="clear" w:color="auto" w:fill="FFF2CC"/>
            <w:tcBorders>
              <w:top w:val="single" w:sz="4" w:color="AAAAAA"/>
              <w:left w:val="single" w:sz="4" w:color="AAAAAA"/>
              <w:bottom w:val="single" w:sz="4" w:color="AAAAAA"/>
              <w:right w:val="single" w:sz="4" w:color="AAAAAA"/>
            </w:tcBorders>
          </w:tcPr>
          <w:p>
            <w:pPr>
              <w:jc w:val="left"/>
            </w:pPr>
            <w:r>
              <w:rPr>
                <w:b w:val="0"/>
                <w:sz w:val="18"/>
              </w:rPr>
              <w:t>85 / 100</w:t>
            </w:r>
          </w:p>
        </w:tc>
      </w:tr>
      <w:tr>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Aug–Oct 2025</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120 GA</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110 GA</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61st GA / 51st GA</w:t>
            </w:r>
          </w:p>
        </w:tc>
        <w:tc>
          <w:tcPr>
            <w:tcW w:type="dxa" w:w="1814"/>
            <w:shd w:val="clear" w:color="auto" w:fill="FFF2CC"/>
            <w:tcBorders>
              <w:top w:val="single" w:sz="4" w:color="AAAAAA"/>
              <w:left w:val="single" w:sz="4" w:color="AAAAAA"/>
              <w:bottom w:val="single" w:sz="4" w:color="AAAAAA"/>
              <w:right w:val="single" w:sz="4" w:color="AAAAAA"/>
            </w:tcBorders>
          </w:tcPr>
          <w:p>
            <w:pPr>
              <w:jc w:val="left"/>
            </w:pPr>
            <w:r>
              <w:rPr>
                <w:b w:val="0"/>
                <w:sz w:val="18"/>
              </w:rPr>
              <w:t>100</w:t>
            </w:r>
          </w:p>
        </w:tc>
      </w:tr>
      <w:tr>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Nov 2025</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150 GA</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140 GA</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71st/81st (Core/Emerging)</w:t>
            </w:r>
          </w:p>
        </w:tc>
        <w:tc>
          <w:tcPr>
            <w:tcW w:type="dxa" w:w="1814"/>
            <w:shd w:val="clear" w:color="auto" w:fill="FFF2CC"/>
            <w:tcBorders>
              <w:top w:val="single" w:sz="4" w:color="AAAAAA"/>
              <w:left w:val="single" w:sz="4" w:color="AAAAAA"/>
              <w:bottom w:val="single" w:sz="4" w:color="AAAAAA"/>
              <w:right w:val="single" w:sz="4" w:color="AAAAAA"/>
            </w:tcBorders>
          </w:tcPr>
          <w:p>
            <w:pPr>
              <w:jc w:val="left"/>
            </w:pPr>
            <w:r>
              <w:rPr>
                <w:b w:val="0"/>
                <w:sz w:val="18"/>
              </w:rPr>
              <w:t>100</w:t>
            </w:r>
          </w:p>
        </w:tc>
      </w:tr>
      <w:tr>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Dec 2025</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140 GA</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130 GA</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71st/81st (Core/Emerging)</w:t>
            </w:r>
          </w:p>
        </w:tc>
        <w:tc>
          <w:tcPr>
            <w:tcW w:type="dxa" w:w="1814"/>
            <w:shd w:val="clear" w:color="auto" w:fill="FFF2CC"/>
            <w:tcBorders>
              <w:top w:val="single" w:sz="4" w:color="AAAAAA"/>
              <w:left w:val="single" w:sz="4" w:color="AAAAAA"/>
              <w:bottom w:val="single" w:sz="4" w:color="AAAAAA"/>
              <w:right w:val="single" w:sz="4" w:color="AAAAAA"/>
            </w:tcBorders>
          </w:tcPr>
          <w:p>
            <w:pPr>
              <w:jc w:val="left"/>
            </w:pPr>
            <w:r>
              <w:rPr>
                <w:b w:val="0"/>
                <w:sz w:val="18"/>
              </w:rPr>
              <w:t>100</w:t>
            </w:r>
          </w:p>
        </w:tc>
      </w:tr>
      <w:tr>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Jan–Mar 2026</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160 GA (Rest)</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71st/81st (Core/Emerging)</w:t>
            </w:r>
          </w:p>
        </w:tc>
        <w:tc>
          <w:tcPr>
            <w:tcW w:type="dxa" w:w="1814"/>
            <w:shd w:val="clear" w:color="auto" w:fill="FFF2CC"/>
            <w:tcBorders>
              <w:top w:val="single" w:sz="4" w:color="AAAAAA"/>
              <w:left w:val="single" w:sz="4" w:color="AAAAAA"/>
              <w:bottom w:val="single" w:sz="4" w:color="AAAAAA"/>
              <w:right w:val="single" w:sz="4" w:color="AAAAAA"/>
            </w:tcBorders>
          </w:tcPr>
          <w:p>
            <w:pPr>
              <w:jc w:val="left"/>
            </w:pPr>
            <w:r>
              <w:rPr>
                <w:b w:val="0"/>
                <w:sz w:val="18"/>
              </w:rPr>
              <w:t>100</w:t>
            </w:r>
          </w:p>
        </w:tc>
      </w:tr>
      <w:tr>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Apr 2026</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160 GA (Rest) / 180 GA (West-special)</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71st/81st or 91st/101st</w:t>
            </w:r>
          </w:p>
        </w:tc>
        <w:tc>
          <w:tcPr>
            <w:tcW w:type="dxa" w:w="1814"/>
            <w:shd w:val="clear" w:color="auto" w:fill="FFF2CC"/>
            <w:tcBorders>
              <w:top w:val="single" w:sz="4" w:color="AAAAAA"/>
              <w:left w:val="single" w:sz="4" w:color="AAAAAA"/>
              <w:bottom w:val="single" w:sz="4" w:color="AAAAAA"/>
              <w:right w:val="single" w:sz="4" w:color="AAAAAA"/>
            </w:tcBorders>
          </w:tcPr>
          <w:p>
            <w:pPr>
              <w:jc w:val="left"/>
            </w:pPr>
            <w:r>
              <w:rPr>
                <w:b w:val="0"/>
                <w:sz w:val="18"/>
              </w:rPr>
              <w:t>100</w:t>
            </w:r>
          </w:p>
        </w:tc>
      </w:tr>
    </w:tbl>
    <w:p/>
    <w:p>
      <w:pPr>
        <w:pStyle w:val="Heading2"/>
      </w:pPr>
      <w:r>
        <w:rPr>
          <w:color w:val="1F497D"/>
        </w:rPr>
        <w:t>3.5 VLR Condition — Three-Tier Payout Slab</w:t>
      </w:r>
    </w:p>
    <w:p>
      <w:pPr>
        <w:spacing w:before="0" w:after="120"/>
      </w:pPr>
      <w:r>
        <w:rPr>
          <w:b w:val="0"/>
          <w:i w:val="0"/>
          <w:sz w:val="20"/>
        </w:rPr>
        <w:t>From October 2025, a VLR (Visitor Location Register) active condition was added as a quality gate on GA counting. The VLR condition uses a 3-tier payout slab:</w:t>
      </w:r>
    </w:p>
    <w:tbl>
      <w:tblPr>
        <w:tblStyle w:val="TableGrid"/>
        <w:tblW w:type="auto" w:w="0"/>
        <w:tblLook w:firstColumn="1" w:firstRow="1" w:lastColumn="0" w:lastRow="0" w:noHBand="0" w:noVBand="1" w:val="04A0"/>
      </w:tblPr>
      <w:tblGrid>
        <w:gridCol w:w="4536"/>
        <w:gridCol w:w="4536"/>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VLR Condition Introduced</w:t>
            </w:r>
          </w:p>
        </w:tc>
        <w:tc>
          <w:tcPr>
            <w:tcW w:type="dxa" w:w="6336"/>
            <w:tcBorders>
              <w:top w:val="single" w:sz="4" w:color="AAAAAA"/>
              <w:left w:val="single" w:sz="4" w:color="AAAAAA"/>
              <w:bottom w:val="single" w:sz="4" w:color="AAAAAA"/>
              <w:right w:val="single" w:sz="4" w:color="AAAAAA"/>
            </w:tcBorders>
          </w:tcPr>
          <w:p>
            <w:pPr>
              <w:jc w:val="left"/>
            </w:pPr>
            <w:r>
              <w:rPr>
                <w:b w:val="0"/>
                <w:sz w:val="18"/>
              </w:rPr>
              <w:t>October 2025 (partial month: 22nd–31st Oct only)</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VLR Condition Full Month</w:t>
            </w:r>
          </w:p>
        </w:tc>
        <w:tc>
          <w:tcPr>
            <w:tcW w:type="dxa" w:w="6336"/>
            <w:tcBorders>
              <w:top w:val="single" w:sz="4" w:color="AAAAAA"/>
              <w:left w:val="single" w:sz="4" w:color="AAAAAA"/>
              <w:bottom w:val="single" w:sz="4" w:color="AAAAAA"/>
              <w:right w:val="single" w:sz="4" w:color="AAAAAA"/>
            </w:tcBorders>
          </w:tcPr>
          <w:p>
            <w:pPr>
              <w:jc w:val="left"/>
            </w:pPr>
            <w:r>
              <w:rPr>
                <w:b w:val="0"/>
                <w:sz w:val="18"/>
              </w:rPr>
              <w:t>November 2025 onward — applies to entire campaign period</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VLR Data Source</w:t>
            </w:r>
          </w:p>
        </w:tc>
        <w:tc>
          <w:tcPr>
            <w:tcW w:type="dxa" w:w="6336"/>
            <w:tcBorders>
              <w:top w:val="single" w:sz="4" w:color="AAAAAA"/>
              <w:left w:val="single" w:sz="4" w:color="AAAAAA"/>
              <w:bottom w:val="single" w:sz="4" w:color="AAAAAA"/>
              <w:right w:val="single" w:sz="4" w:color="AAAAAA"/>
            </w:tcBorders>
          </w:tcPr>
          <w:p>
            <w:pPr>
              <w:jc w:val="left"/>
            </w:pPr>
            <w:r>
              <w:rPr>
                <w:b w:val="0"/>
                <w:sz w:val="18"/>
              </w:rPr>
              <w:t>B2C shares VLR achievement % per BP</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VLR Act % vs All GA</w:t>
            </w:r>
          </w:p>
        </w:tc>
        <w:tc>
          <w:tcPr>
            <w:tcW w:type="dxa" w:w="302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Standard SRFs (Oct–Jan 2026)</w:t>
            </w:r>
          </w:p>
        </w:tc>
        <w:tc>
          <w:tcPr>
            <w:tcW w:type="dxa" w:w="302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Feb 2026 onward (raised threshold)</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Tier 1 (Full)</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≥80% → Full GA Achievement</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≥85% → Full GA Achievement</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Tier 2 (Partial)</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60%–&lt;80% → VLR Active GA Only</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65%–&lt;85% → VLR Active GA Only</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Tier 3 (None)</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&lt;60% → No GA will be Considered</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&lt;65% → No GA will be Considered</w:t>
            </w:r>
          </w:p>
        </w:tc>
      </w:tr>
    </w:tbl>
    <w:p/>
    <w:p>
      <w:pPr>
        <w:spacing w:after="120"/>
        <w:ind w:left="432"/>
      </w:pPr>
      <w:r>
        <w:rPr>
          <w:i/>
          <w:color w:val="804000"/>
          <w:sz w:val="18"/>
        </w:rPr>
        <w:t>Note: 'VLR Active GA Only' means only those specific activations where the subscriber is on VLR Active status are counted — not the full GA total. This is more selective than the full count.</w:t>
      </w:r>
    </w:p>
    <w:p>
      <w:pPr>
        <w:pStyle w:val="Heading2"/>
      </w:pPr>
      <w:r>
        <w:rPr>
          <w:color w:val="1F497D"/>
        </w:rPr>
        <w:t>3.6 Central Cluster Special Rate (from Jan 2026)</w:t>
      </w:r>
    </w:p>
    <w:p>
      <w:pPr>
        <w:spacing w:before="0" w:after="120"/>
      </w:pPr>
      <w:r>
        <w:rPr>
          <w:b w:val="0"/>
          <w:i w:val="0"/>
          <w:sz w:val="20"/>
        </w:rPr>
        <w:t>From January 2026, Central Cluster BPs were split into a separate category with a higher BDT/GA rate and different BP sub-type classification:</w:t>
      </w:r>
    </w:p>
    <w:tbl>
      <w:tblPr>
        <w:tblStyle w:val="TableGrid"/>
        <w:tblW w:type="auto" w:w="0"/>
        <w:tblLook w:firstColumn="1" w:firstRow="1" w:lastColumn="0" w:lastRow="0" w:noHBand="0" w:noVBand="1" w:val="04A0"/>
      </w:tblPr>
      <w:tblGrid>
        <w:gridCol w:w="4536"/>
        <w:gridCol w:w="4536"/>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Applicable From</w:t>
            </w:r>
          </w:p>
        </w:tc>
        <w:tc>
          <w:tcPr>
            <w:tcW w:type="dxa" w:w="6336"/>
            <w:tcBorders>
              <w:top w:val="single" w:sz="4" w:color="AAAAAA"/>
              <w:left w:val="single" w:sz="4" w:color="AAAAAA"/>
              <w:bottom w:val="single" w:sz="4" w:color="AAAAAA"/>
              <w:right w:val="single" w:sz="4" w:color="AAAAAA"/>
            </w:tcBorders>
          </w:tcPr>
          <w:p>
            <w:pPr>
              <w:jc w:val="left"/>
            </w:pPr>
            <w:r>
              <w:rPr>
                <w:b w:val="0"/>
                <w:sz w:val="18"/>
              </w:rPr>
              <w:t>January 2026</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Clusters</w:t>
            </w:r>
          </w:p>
        </w:tc>
        <w:tc>
          <w:tcPr>
            <w:tcW w:type="dxa" w:w="6336"/>
            <w:tcBorders>
              <w:top w:val="single" w:sz="4" w:color="AAAAAA"/>
              <w:left w:val="single" w:sz="4" w:color="AAAAAA"/>
              <w:bottom w:val="single" w:sz="4" w:color="AAAAAA"/>
              <w:right w:val="single" w:sz="4" w:color="AAAAAA"/>
            </w:tcBorders>
          </w:tcPr>
          <w:p>
            <w:pPr>
              <w:jc w:val="left"/>
            </w:pPr>
            <w:r>
              <w:rPr>
                <w:b w:val="0"/>
                <w:sz w:val="18"/>
              </w:rPr>
              <w:t>Central Cluster only</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BP Sub-Types</w:t>
            </w:r>
          </w:p>
        </w:tc>
        <w:tc>
          <w:tcPr>
            <w:tcW w:type="dxa" w:w="6336"/>
            <w:tcBorders>
              <w:top w:val="single" w:sz="4" w:color="AAAAAA"/>
              <w:left w:val="single" w:sz="4" w:color="AAAAAA"/>
              <w:bottom w:val="single" w:sz="4" w:color="AAAAAA"/>
              <w:right w:val="single" w:sz="4" w:color="AAAAAA"/>
            </w:tcBorders>
          </w:tcPr>
          <w:p>
            <w:pPr>
              <w:jc w:val="left"/>
            </w:pPr>
            <w:r>
              <w:rPr>
                <w:b w:val="0"/>
                <w:sz w:val="18"/>
              </w:rPr>
              <w:t>New BP vs Existing BP (replaces Core/Emerging for Central Cluster)</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Rate</w:t>
            </w:r>
          </w:p>
        </w:tc>
        <w:tc>
          <w:tcPr>
            <w:tcW w:type="dxa" w:w="6336"/>
            <w:tcBorders>
              <w:top w:val="single" w:sz="4" w:color="AAAAAA"/>
              <w:left w:val="single" w:sz="4" w:color="AAAAAA"/>
              <w:bottom w:val="single" w:sz="4" w:color="AAAAAA"/>
              <w:right w:val="single" w:sz="4" w:color="AAAAAA"/>
            </w:tcBorders>
          </w:tcPr>
          <w:p>
            <w:pPr>
              <w:jc w:val="left"/>
            </w:pPr>
            <w:r>
              <w:rPr>
                <w:b w:val="0"/>
                <w:sz w:val="18"/>
              </w:rPr>
              <w:t>BDT 120/GA (vs BDT 100 for Rest Clusters)</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New BP Variable Range</w:t>
            </w:r>
          </w:p>
        </w:tc>
        <w:tc>
          <w:tcPr>
            <w:tcW w:type="dxa" w:w="6336"/>
            <w:tcBorders>
              <w:top w:val="single" w:sz="4" w:color="AAAAAA"/>
              <w:left w:val="single" w:sz="4" w:color="AAAAAA"/>
              <w:bottom w:val="single" w:sz="4" w:color="AAAAAA"/>
              <w:right w:val="single" w:sz="4" w:color="AAAAAA"/>
            </w:tcBorders>
          </w:tcPr>
          <w:p>
            <w:pPr>
              <w:jc w:val="left"/>
            </w:pPr>
            <w:r>
              <w:rPr>
                <w:b w:val="0"/>
                <w:sz w:val="18"/>
              </w:rPr>
              <w:t>71–155 GA (Max additional 85 GA, Max assessed 165 GA)</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Existing BP Variable Range</w:t>
            </w:r>
          </w:p>
        </w:tc>
        <w:tc>
          <w:tcPr>
            <w:tcW w:type="dxa" w:w="6336"/>
            <w:tcBorders>
              <w:top w:val="single" w:sz="4" w:color="AAAAAA"/>
              <w:left w:val="single" w:sz="4" w:color="AAAAAA"/>
              <w:bottom w:val="single" w:sz="4" w:color="AAAAAA"/>
              <w:right w:val="single" w:sz="4" w:color="AAAAAA"/>
            </w:tcBorders>
          </w:tcPr>
          <w:p>
            <w:pPr>
              <w:jc w:val="left"/>
            </w:pPr>
            <w:r>
              <w:rPr>
                <w:b w:val="0"/>
                <w:sz w:val="18"/>
              </w:rPr>
              <w:t>81–165 GA (Max additional 85 GA, Max assessed 165 GA)</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VLR Condition (Jan 2026)</w:t>
            </w:r>
          </w:p>
        </w:tc>
        <w:tc>
          <w:tcPr>
            <w:tcW w:type="dxa" w:w="6336"/>
            <w:tcBorders>
              <w:top w:val="single" w:sz="4" w:color="AAAAAA"/>
              <w:left w:val="single" w:sz="4" w:color="AAAAAA"/>
              <w:bottom w:val="single" w:sz="4" w:color="AAAAAA"/>
              <w:right w:val="single" w:sz="4" w:color="AAAAAA"/>
            </w:tcBorders>
          </w:tcPr>
          <w:p>
            <w:pPr>
              <w:jc w:val="left"/>
            </w:pPr>
            <w:r>
              <w:rPr>
                <w:b w:val="0"/>
                <w:sz w:val="18"/>
              </w:rPr>
              <w:t>≥80%: Full | 60%–&lt;80%: VLR Active GA Only | &lt;60%: None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VLR Condition (Feb 2026+)</w:t>
            </w:r>
          </w:p>
        </w:tc>
        <w:tc>
          <w:tcPr>
            <w:tcW w:type="dxa" w:w="6336"/>
            <w:tcBorders>
              <w:top w:val="single" w:sz="4" w:color="AAAAAA"/>
              <w:left w:val="single" w:sz="4" w:color="AAAAAA"/>
              <w:bottom w:val="single" w:sz="4" w:color="AAAAAA"/>
              <w:right w:val="single" w:sz="4" w:color="AAAAAA"/>
            </w:tcBorders>
          </w:tcPr>
          <w:p>
            <w:pPr>
              <w:jc w:val="left"/>
            </w:pPr>
            <w:r>
              <w:rPr>
                <w:b w:val="0"/>
                <w:sz w:val="18"/>
              </w:rPr>
              <w:t>≥85%: Full | 65%–&lt;85%: VLR Active GA Only | &lt;65%: None</w:t>
            </w:r>
          </w:p>
        </w:tc>
      </w:tr>
    </w:tbl>
    <w:p/>
    <w:p>
      <w:pPr>
        <w:spacing w:after="120"/>
        <w:ind w:left="432"/>
      </w:pPr>
      <w:r>
        <w:rPr>
          <w:i/>
          <w:color w:val="804000"/>
          <w:sz w:val="18"/>
        </w:rPr>
        <w:t>Note: The Central Cluster distinction (BDT 120 vs BDT 100 for other clusters) reflects the higher competitive intensity and activation volumes expected in urban Central Cluster territories.</w:t>
      </w:r>
    </w:p>
    <w:p>
      <w:pPr>
        <w:pStyle w:val="Heading2"/>
      </w:pPr>
      <w:r>
        <w:rPr>
          <w:color w:val="1F497D"/>
        </w:rPr>
        <w:t>3.7 West Cluster Special Rate — Barisal/Khulna Outer/Jessore Region (Apr 2026 only)</w:t>
      </w:r>
    </w:p>
    <w:p>
      <w:pPr>
        <w:spacing w:before="0" w:after="120"/>
      </w:pPr>
      <w:r>
        <w:rPr>
          <w:b w:val="0"/>
          <w:i w:val="0"/>
          <w:sz w:val="20"/>
        </w:rPr>
        <w:t>April 2026 introduced a third cluster sub-category, splitting out specific West Cluster regions:</w:t>
      </w:r>
    </w:p>
    <w:tbl>
      <w:tblPr>
        <w:tblStyle w:val="TableGrid"/>
        <w:tblW w:type="auto" w:w="0"/>
        <w:tblLook w:firstColumn="1" w:firstRow="1" w:lastColumn="0" w:lastRow="0" w:noHBand="0" w:noVBand="1" w:val="04A0"/>
      </w:tblPr>
      <w:tblGrid>
        <w:gridCol w:w="4536"/>
        <w:gridCol w:w="4536"/>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Applicable Period</w:t>
            </w:r>
          </w:p>
        </w:tc>
        <w:tc>
          <w:tcPr>
            <w:tcW w:type="dxa" w:w="6336"/>
            <w:tcBorders>
              <w:top w:val="single" w:sz="4" w:color="AAAAAA"/>
              <w:left w:val="single" w:sz="4" w:color="AAAAAA"/>
              <w:bottom w:val="single" w:sz="4" w:color="AAAAAA"/>
              <w:right w:val="single" w:sz="4" w:color="AAAAAA"/>
            </w:tcBorders>
          </w:tcPr>
          <w:p>
            <w:pPr>
              <w:jc w:val="left"/>
            </w:pPr>
            <w:r>
              <w:rPr>
                <w:b w:val="0"/>
                <w:sz w:val="18"/>
              </w:rPr>
              <w:t>April 2026 only</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Regions</w:t>
            </w:r>
          </w:p>
        </w:tc>
        <w:tc>
          <w:tcPr>
            <w:tcW w:type="dxa" w:w="6336"/>
            <w:tcBorders>
              <w:top w:val="single" w:sz="4" w:color="AAAAAA"/>
              <w:left w:val="single" w:sz="4" w:color="AAAAAA"/>
              <w:bottom w:val="single" w:sz="4" w:color="AAAAAA"/>
              <w:right w:val="single" w:sz="4" w:color="AAAAAA"/>
            </w:tcBorders>
          </w:tcPr>
          <w:p>
            <w:pPr>
              <w:jc w:val="left"/>
            </w:pPr>
            <w:r>
              <w:rPr>
                <w:b w:val="0"/>
                <w:sz w:val="18"/>
              </w:rPr>
              <w:t>Barisal, Khulna Outer, Jessore Region (West Cluster sub-set)</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Rate</w:t>
            </w:r>
          </w:p>
        </w:tc>
        <w:tc>
          <w:tcPr>
            <w:tcW w:type="dxa" w:w="6336"/>
            <w:tcBorders>
              <w:top w:val="single" w:sz="4" w:color="AAAAAA"/>
              <w:left w:val="single" w:sz="4" w:color="AAAAAA"/>
              <w:bottom w:val="single" w:sz="4" w:color="AAAAAA"/>
              <w:right w:val="single" w:sz="4" w:color="AAAAAA"/>
            </w:tcBorders>
          </w:tcPr>
          <w:p>
            <w:pPr>
              <w:jc w:val="left"/>
            </w:pPr>
            <w:r>
              <w:rPr>
                <w:b w:val="0"/>
                <w:sz w:val="18"/>
              </w:rPr>
              <w:t>BDT 100/GA (same as Rest Cluster)</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Core Variable Range</w:t>
            </w:r>
          </w:p>
        </w:tc>
        <w:tc>
          <w:tcPr>
            <w:tcW w:type="dxa" w:w="6336"/>
            <w:tcBorders>
              <w:top w:val="single" w:sz="4" w:color="AAAAAA"/>
              <w:left w:val="single" w:sz="4" w:color="AAAAAA"/>
              <w:bottom w:val="single" w:sz="4" w:color="AAAAAA"/>
              <w:right w:val="single" w:sz="4" w:color="AAAAAA"/>
            </w:tcBorders>
          </w:tcPr>
          <w:p>
            <w:pPr>
              <w:jc w:val="left"/>
            </w:pPr>
            <w:r>
              <w:rPr>
                <w:b w:val="0"/>
                <w:sz w:val="18"/>
              </w:rPr>
              <w:t>91–170 GA (higher floor than standard Rest Cluster 71–150)</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Emerging Variable Range</w:t>
            </w:r>
          </w:p>
        </w:tc>
        <w:tc>
          <w:tcPr>
            <w:tcW w:type="dxa" w:w="6336"/>
            <w:tcBorders>
              <w:top w:val="single" w:sz="4" w:color="AAAAAA"/>
              <w:left w:val="single" w:sz="4" w:color="AAAAAA"/>
              <w:bottom w:val="single" w:sz="4" w:color="AAAAAA"/>
              <w:right w:val="single" w:sz="4" w:color="AAAAAA"/>
            </w:tcBorders>
          </w:tcPr>
          <w:p>
            <w:pPr>
              <w:jc w:val="left"/>
            </w:pPr>
            <w:r>
              <w:rPr>
                <w:b w:val="0"/>
                <w:sz w:val="18"/>
              </w:rPr>
              <w:t>101–180 GA</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Max Additional GA</w:t>
            </w:r>
          </w:p>
        </w:tc>
        <w:tc>
          <w:tcPr>
            <w:tcW w:type="dxa" w:w="6336"/>
            <w:tcBorders>
              <w:top w:val="single" w:sz="4" w:color="AAAAAA"/>
              <w:left w:val="single" w:sz="4" w:color="AAAAAA"/>
              <w:bottom w:val="single" w:sz="4" w:color="AAAAAA"/>
              <w:right w:val="single" w:sz="4" w:color="AAAAAA"/>
            </w:tcBorders>
          </w:tcPr>
          <w:p>
            <w:pPr>
              <w:jc w:val="left"/>
            </w:pPr>
            <w:r>
              <w:rPr>
                <w:b w:val="0"/>
                <w:sz w:val="18"/>
              </w:rPr>
              <w:t>80</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Max Assessed GA</w:t>
            </w:r>
          </w:p>
        </w:tc>
        <w:tc>
          <w:tcPr>
            <w:tcW w:type="dxa" w:w="6336"/>
            <w:tcBorders>
              <w:top w:val="single" w:sz="4" w:color="AAAAAA"/>
              <w:left w:val="single" w:sz="4" w:color="AAAAAA"/>
              <w:bottom w:val="single" w:sz="4" w:color="AAAAAA"/>
              <w:right w:val="single" w:sz="4" w:color="AAAAAA"/>
            </w:tcBorders>
          </w:tcPr>
          <w:p>
            <w:pPr>
              <w:jc w:val="left"/>
            </w:pPr>
            <w:r>
              <w:rPr>
                <w:b w:val="0"/>
                <w:sz w:val="18"/>
              </w:rPr>
              <w:t>180 GA</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VLR Condition</w:t>
            </w:r>
          </w:p>
        </w:tc>
        <w:tc>
          <w:tcPr>
            <w:tcW w:type="dxa" w:w="6336"/>
            <w:tcBorders>
              <w:top w:val="single" w:sz="4" w:color="AAAAAA"/>
              <w:left w:val="single" w:sz="4" w:color="AAAAAA"/>
              <w:bottom w:val="single" w:sz="4" w:color="AAAAAA"/>
              <w:right w:val="single" w:sz="4" w:color="AAAAAA"/>
            </w:tcBorders>
          </w:tcPr>
          <w:p>
            <w:pPr>
              <w:jc w:val="left"/>
            </w:pPr>
            <w:r>
              <w:rPr>
                <w:b w:val="0"/>
                <w:sz w:val="18"/>
              </w:rPr>
              <w:t>≥85%: Full | 65%–&lt;85%: VLR Active GA Only | &lt;65%: None</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Rest of West Cluster</w:t>
            </w:r>
          </w:p>
        </w:tc>
        <w:tc>
          <w:tcPr>
            <w:tcW w:type="dxa" w:w="6336"/>
            <w:tcBorders>
              <w:top w:val="single" w:sz="4" w:color="AAAAAA"/>
              <w:left w:val="single" w:sz="4" w:color="AAAAAA"/>
              <w:bottom w:val="single" w:sz="4" w:color="AAAAAA"/>
              <w:right w:val="single" w:sz="4" w:color="AAAAAA"/>
            </w:tcBorders>
          </w:tcPr>
          <w:p>
            <w:pPr>
              <w:jc w:val="left"/>
            </w:pPr>
            <w:r>
              <w:rPr>
                <w:b w:val="0"/>
                <w:sz w:val="18"/>
              </w:rPr>
              <w:t>Follows standard Rest Cluster terms (71/81 GA start, 160 max)</w:t>
            </w:r>
          </w:p>
        </w:tc>
      </w:tr>
    </w:tbl>
    <w:p/>
    <w:p>
      <w:r>
        <w:br w:type="page"/>
      </w:r>
    </w:p>
    <w:p>
      <w:pPr>
        <w:pStyle w:val="Heading1"/>
      </w:pPr>
      <w:r>
        <w:rPr>
          <w:color w:val="1F497D"/>
        </w:rPr>
        <w:t>4. KPI 2 — MyBL App &amp; Toffee Referral Hit Incentive</w:t>
      </w:r>
    </w:p>
    <w:p>
      <w:pPr>
        <w:spacing w:before="0" w:after="160"/>
      </w:pPr>
      <w:r>
        <w:rPr>
          <w:b w:val="0"/>
          <w:i w:val="0"/>
          <w:sz w:val="20"/>
        </w:rPr>
        <w:t>An app referral incentive component ran alongside the GA variable incentive in most months.</w:t>
      </w:r>
    </w:p>
    <w:p>
      <w:pPr>
        <w:pStyle w:val="Heading2"/>
      </w:pPr>
      <w:r>
        <w:rPr>
          <w:color w:val="1F497D"/>
        </w:rPr>
        <w:t>4.1 MyBL App Referral (All Months)</w:t>
      </w:r>
    </w:p>
    <w:tbl>
      <w:tblPr>
        <w:tblStyle w:val="TableGrid"/>
        <w:tblW w:type="auto" w:w="0"/>
        <w:tblLook w:firstColumn="1" w:firstRow="1" w:lastColumn="0" w:lastRow="0" w:noHBand="0" w:noVBand="1" w:val="04A0"/>
      </w:tblPr>
      <w:tblGrid>
        <w:gridCol w:w="4536"/>
        <w:gridCol w:w="4536"/>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336"/>
            <w:tcBorders>
              <w:top w:val="single" w:sz="4" w:color="AAAAAA"/>
              <w:left w:val="single" w:sz="4" w:color="AAAAAA"/>
              <w:bottom w:val="single" w:sz="4" w:color="AAAAAA"/>
              <w:right w:val="single" w:sz="4" w:color="AAAAAA"/>
            </w:tcBorders>
          </w:tcPr>
          <w:p>
            <w:pPr>
              <w:jc w:val="left"/>
            </w:pPr>
            <w:r>
              <w:rPr>
                <w:b w:val="0"/>
                <w:sz w:val="18"/>
              </w:rPr>
              <w:t>MyBL App Referral Hit Incentive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Commission Rate</w:t>
            </w:r>
          </w:p>
        </w:tc>
        <w:tc>
          <w:tcPr>
            <w:tcW w:type="dxa" w:w="6336"/>
            <w:tcBorders>
              <w:top w:val="single" w:sz="4" w:color="AAAAAA"/>
              <w:left w:val="single" w:sz="4" w:color="AAAAAA"/>
              <w:bottom w:val="single" w:sz="4" w:color="AAAAAA"/>
              <w:right w:val="single" w:sz="4" w:color="AAAAAA"/>
            </w:tcBorders>
          </w:tcPr>
          <w:p>
            <w:pPr>
              <w:jc w:val="left"/>
            </w:pPr>
            <w:r>
              <w:rPr>
                <w:b w:val="0"/>
                <w:sz w:val="18"/>
              </w:rPr>
              <w:t>BDT 20 per successful referral hit</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Maximum Eligible Hits</w:t>
            </w:r>
          </w:p>
        </w:tc>
        <w:tc>
          <w:tcPr>
            <w:tcW w:type="dxa" w:w="6336"/>
            <w:tcBorders>
              <w:top w:val="single" w:sz="4" w:color="AAAAAA"/>
              <w:left w:val="single" w:sz="4" w:color="AAAAAA"/>
              <w:bottom w:val="single" w:sz="4" w:color="AAAAAA"/>
              <w:right w:val="single" w:sz="4" w:color="AAAAAA"/>
            </w:tcBorders>
          </w:tcPr>
          <w:p>
            <w:pPr>
              <w:jc w:val="left"/>
            </w:pPr>
            <w:r>
              <w:rPr>
                <w:b w:val="0"/>
                <w:sz w:val="18"/>
              </w:rPr>
              <w:t>25 (Apr 2025) / 50 (May 2025 onward)</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Maximum Incentive</w:t>
            </w:r>
          </w:p>
        </w:tc>
        <w:tc>
          <w:tcPr>
            <w:tcW w:type="dxa" w:w="6336"/>
            <w:tcBorders>
              <w:top w:val="single" w:sz="4" w:color="AAAAAA"/>
              <w:left w:val="single" w:sz="4" w:color="AAAAAA"/>
              <w:bottom w:val="single" w:sz="4" w:color="AAAAAA"/>
              <w:right w:val="single" w:sz="4" w:color="AAAAAA"/>
            </w:tcBorders>
          </w:tcPr>
          <w:p>
            <w:pPr>
              <w:jc w:val="left"/>
            </w:pPr>
            <w:r>
              <w:rPr>
                <w:b w:val="0"/>
                <w:sz w:val="18"/>
              </w:rPr>
              <w:t>BDT 500 (Apr 2025) / BDT 1,000 (May 2025 onward)</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Eligibility Trigger</w:t>
            </w:r>
          </w:p>
        </w:tc>
        <w:tc>
          <w:tcPr>
            <w:tcW w:type="dxa" w:w="6336"/>
            <w:tcBorders>
              <w:top w:val="single" w:sz="4" w:color="AAAAAA"/>
              <w:left w:val="single" w:sz="4" w:color="AAAAAA"/>
              <w:bottom w:val="single" w:sz="4" w:color="AAAAAA"/>
              <w:right w:val="single" w:sz="4" w:color="AAAAAA"/>
            </w:tcBorders>
          </w:tcPr>
          <w:p>
            <w:pPr>
              <w:jc w:val="left"/>
            </w:pPr>
            <w:r>
              <w:rPr>
                <w:b w:val="0"/>
                <w:sz w:val="18"/>
              </w:rPr>
              <w:t>Customer signs up on MyBL App using BP's unique referral code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New User Condition</w:t>
            </w:r>
          </w:p>
        </w:tc>
        <w:tc>
          <w:tcPr>
            <w:tcW w:type="dxa" w:w="6336"/>
            <w:tcBorders>
              <w:top w:val="single" w:sz="4" w:color="AAAAAA"/>
              <w:left w:val="single" w:sz="4" w:color="AAAAAA"/>
              <w:bottom w:val="single" w:sz="4" w:color="AAAAAA"/>
              <w:right w:val="single" w:sz="4" w:color="AAAAAA"/>
            </w:tcBorders>
          </w:tcPr>
          <w:p>
            <w:pPr>
              <w:jc w:val="left"/>
            </w:pPr>
            <w:r>
              <w:rPr>
                <w:b w:val="0"/>
                <w:sz w:val="18"/>
              </w:rPr>
              <w:t>Customer must be a new MyBL App user</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Referral Source</w:t>
            </w:r>
          </w:p>
        </w:tc>
        <w:tc>
          <w:tcPr>
            <w:tcW w:type="dxa" w:w="6336"/>
            <w:tcBorders>
              <w:top w:val="single" w:sz="4" w:color="AAAAAA"/>
              <w:left w:val="single" w:sz="4" w:color="AAAAAA"/>
              <w:bottom w:val="single" w:sz="4" w:color="AAAAAA"/>
              <w:right w:val="single" w:sz="4" w:color="AAAAAA"/>
            </w:tcBorders>
          </w:tcPr>
          <w:p>
            <w:pPr>
              <w:jc w:val="left"/>
            </w:pPr>
            <w:r>
              <w:rPr>
                <w:b w:val="0"/>
                <w:sz w:val="18"/>
              </w:rPr>
              <w:t>Activation against referral codes considered for hit count</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List Source</w:t>
            </w:r>
          </w:p>
        </w:tc>
        <w:tc>
          <w:tcPr>
            <w:tcW w:type="dxa" w:w="6336"/>
            <w:tcBorders>
              <w:top w:val="single" w:sz="4" w:color="AAAAAA"/>
              <w:left w:val="single" w:sz="4" w:color="AAAAAA"/>
              <w:bottom w:val="single" w:sz="4" w:color="AAAAAA"/>
              <w:right w:val="single" w:sz="4" w:color="AAAAAA"/>
            </w:tcBorders>
          </w:tcPr>
          <w:p>
            <w:pPr>
              <w:jc w:val="left"/>
            </w:pPr>
            <w:r>
              <w:rPr>
                <w:b w:val="0"/>
                <w:sz w:val="18"/>
              </w:rPr>
              <w:t>BP list + referral codes shared by B2C</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Data Source</w:t>
            </w:r>
          </w:p>
        </w:tc>
        <w:tc>
          <w:tcPr>
            <w:tcW w:type="dxa" w:w="6336"/>
            <w:tcBorders>
              <w:top w:val="single" w:sz="4" w:color="AAAAAA"/>
              <w:left w:val="single" w:sz="4" w:color="AAAAAA"/>
              <w:bottom w:val="single" w:sz="4" w:color="AAAAAA"/>
              <w:right w:val="single" w:sz="4" w:color="AAAAAA"/>
            </w:tcBorders>
          </w:tcPr>
          <w:p>
            <w:pPr>
              <w:jc w:val="left"/>
            </w:pPr>
            <w:r>
              <w:rPr>
                <w:b w:val="0"/>
                <w:sz w:val="18"/>
              </w:rPr>
              <w:t>IT-DSS provides registration and successful referral data after campaign end</w:t>
            </w:r>
          </w:p>
        </w:tc>
      </w:tr>
    </w:tbl>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Month</w:t>
            </w:r>
          </w:p>
        </w:tc>
        <w:tc>
          <w:tcPr>
            <w:tcW w:type="dxa" w:w="1512"/>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Rate</w:t>
            </w:r>
          </w:p>
        </w:tc>
        <w:tc>
          <w:tcPr>
            <w:tcW w:type="dxa" w:w="1512"/>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Max Hits</w:t>
            </w:r>
          </w:p>
        </w:tc>
        <w:tc>
          <w:tcPr>
            <w:tcW w:type="dxa" w:w="1512"/>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Max Incentive</w:t>
            </w:r>
          </w:p>
        </w:tc>
        <w:tc>
          <w:tcPr>
            <w:tcW w:type="dxa" w:w="1512"/>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Recharge Condition</w:t>
            </w:r>
          </w:p>
        </w:tc>
        <w:tc>
          <w:tcPr>
            <w:tcW w:type="dxa" w:w="1512"/>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Toffee Included?</w:t>
            </w:r>
          </w:p>
        </w:tc>
      </w:tr>
      <w:tr>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Apr 2025</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BDT 20/hit</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25</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BDT 500</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Customer must recharge by last day of Apr 2025</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No</w:t>
            </w:r>
          </w:p>
        </w:tc>
      </w:tr>
      <w:tr>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May 2025</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BDT 20/hit</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50</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BDT 1,000</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Must recharge by 31 May 2025</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YES</w:t>
            </w:r>
          </w:p>
        </w:tc>
      </w:tr>
      <w:tr>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Jun 2025</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BDT 20/hit</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50</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BDT 1,000</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Must recharge by 30 Jun 2025</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YES</w:t>
            </w:r>
          </w:p>
        </w:tc>
      </w:tr>
      <w:tr>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Jul 2025</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BDT 20/hit</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50</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BDT 1,000</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Must recharge by 31 Jul 2025</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YES</w:t>
            </w:r>
          </w:p>
        </w:tc>
      </w:tr>
      <w:tr>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Aug 2025</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BDT 20/hit</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50</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BDT 1,000</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Must recharge by 31 Aug 2025</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YES</w:t>
            </w:r>
          </w:p>
        </w:tc>
      </w:tr>
      <w:tr>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Sep 2025</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BDT 20/hit</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50</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BDT 1,000</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Must recharge by 30 Sep 2025</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YES</w:t>
            </w:r>
          </w:p>
        </w:tc>
      </w:tr>
      <w:tr>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Oct 2025</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BDT 20/hit</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50</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BDT 1,000</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Must recharge by 31 Oct 2025</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YES</w:t>
            </w:r>
          </w:p>
        </w:tc>
      </w:tr>
      <w:tr>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Nov 2025</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BDT 20/hit</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50</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BDT 1,000</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No explicit recharge condition stated</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YES</w:t>
            </w:r>
          </w:p>
        </w:tc>
      </w:tr>
      <w:tr>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Dec 2025</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BDT 20/hit</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50</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BDT 1,000</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No explicit recharge condition stated</w:t>
            </w:r>
          </w:p>
        </w:tc>
        <w:tc>
          <w:tcPr>
            <w:tcW w:type="dxa" w:w="1512"/>
            <w:shd w:val="clear" w:color="auto" w:fill="EBF3FB"/>
            <w:tcBorders>
              <w:top w:val="single" w:sz="4" w:color="AAAAAA"/>
              <w:left w:val="single" w:sz="4" w:color="AAAAAA"/>
              <w:bottom w:val="single" w:sz="4" w:color="AAAAAA"/>
              <w:right w:val="single" w:sz="4" w:color="AAAAAA"/>
            </w:tcBorders>
          </w:tcPr>
          <w:p>
            <w:pPr>
              <w:jc w:val="left"/>
            </w:pPr>
            <w:r>
              <w:rPr>
                <w:b w:val="0"/>
                <w:sz w:val="18"/>
              </w:rPr>
              <w:t>YES</w:t>
            </w:r>
          </w:p>
        </w:tc>
      </w:tr>
      <w:tr>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Jan 2026+</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BDT 20/hit</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50</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BDT 1,000</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No explicit recharge condition stated</w:t>
            </w:r>
          </w:p>
        </w:tc>
        <w:tc>
          <w:tcPr>
            <w:tcW w:type="dxa" w:w="1512"/>
            <w:shd w:val="clear" w:color="auto" w:fill="FFFFFF"/>
            <w:tcBorders>
              <w:top w:val="single" w:sz="4" w:color="AAAAAA"/>
              <w:left w:val="single" w:sz="4" w:color="AAAAAA"/>
              <w:bottom w:val="single" w:sz="4" w:color="AAAAAA"/>
              <w:right w:val="single" w:sz="4" w:color="AAAAAA"/>
            </w:tcBorders>
          </w:tcPr>
          <w:p>
            <w:pPr>
              <w:jc w:val="left"/>
            </w:pPr>
            <w:r>
              <w:rPr>
                <w:b w:val="0"/>
                <w:sz w:val="18"/>
              </w:rPr>
              <w:t>YES</w:t>
            </w:r>
          </w:p>
        </w:tc>
      </w:tr>
    </w:tbl>
    <w:p/>
    <w:p>
      <w:pPr>
        <w:pStyle w:val="Heading2"/>
      </w:pPr>
      <w:r>
        <w:rPr>
          <w:color w:val="1F497D"/>
        </w:rPr>
        <w:t>4.2 Toffee App Referral (May 2025 onward)</w:t>
      </w:r>
    </w:p>
    <w:tbl>
      <w:tblPr>
        <w:tblStyle w:val="TableGrid"/>
        <w:tblW w:type="auto" w:w="0"/>
        <w:tblLook w:firstColumn="1" w:firstRow="1" w:lastColumn="0" w:lastRow="0" w:noHBand="0" w:noVBand="1" w:val="04A0"/>
      </w:tblPr>
      <w:tblGrid>
        <w:gridCol w:w="4536"/>
        <w:gridCol w:w="4536"/>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336"/>
            <w:tcBorders>
              <w:top w:val="single" w:sz="4" w:color="AAAAAA"/>
              <w:left w:val="single" w:sz="4" w:color="AAAAAA"/>
              <w:bottom w:val="single" w:sz="4" w:color="AAAAAA"/>
              <w:right w:val="single" w:sz="4" w:color="AAAAAA"/>
            </w:tcBorders>
          </w:tcPr>
          <w:p>
            <w:pPr>
              <w:jc w:val="left"/>
            </w:pPr>
            <w:r>
              <w:rPr>
                <w:b w:val="0"/>
                <w:sz w:val="18"/>
              </w:rPr>
              <w:t>Toffee App Referral Hit Incentive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Commission Rate</w:t>
            </w:r>
          </w:p>
        </w:tc>
        <w:tc>
          <w:tcPr>
            <w:tcW w:type="dxa" w:w="6336"/>
            <w:tcBorders>
              <w:top w:val="single" w:sz="4" w:color="AAAAAA"/>
              <w:left w:val="single" w:sz="4" w:color="AAAAAA"/>
              <w:bottom w:val="single" w:sz="4" w:color="AAAAAA"/>
              <w:right w:val="single" w:sz="4" w:color="AAAAAA"/>
            </w:tcBorders>
          </w:tcPr>
          <w:p>
            <w:pPr>
              <w:jc w:val="left"/>
            </w:pPr>
            <w:r>
              <w:rPr>
                <w:b w:val="0"/>
                <w:sz w:val="18"/>
              </w:rPr>
              <w:t>BDT 20 per Toffee hit (combined with MyBL in same BDT 1,000 cap)</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Combined Cap</w:t>
            </w:r>
          </w:p>
        </w:tc>
        <w:tc>
          <w:tcPr>
            <w:tcW w:type="dxa" w:w="6336"/>
            <w:tcBorders>
              <w:top w:val="single" w:sz="4" w:color="AAAAAA"/>
              <w:left w:val="single" w:sz="4" w:color="AAAAAA"/>
              <w:bottom w:val="single" w:sz="4" w:color="AAAAAA"/>
              <w:right w:val="single" w:sz="4" w:color="AAAAAA"/>
            </w:tcBorders>
          </w:tcPr>
          <w:p>
            <w:pPr>
              <w:jc w:val="left"/>
            </w:pPr>
            <w:r>
              <w:rPr>
                <w:b w:val="0"/>
                <w:sz w:val="18"/>
              </w:rPr>
              <w:t>Max 50 eligible activations for MyBL + Toffee combined (max BDT 1,000)</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Qualified Toffee Count</w:t>
            </w:r>
          </w:p>
        </w:tc>
        <w:tc>
          <w:tcPr>
            <w:tcW w:type="dxa" w:w="6336"/>
            <w:tcBorders>
              <w:top w:val="single" w:sz="4" w:color="AAAAAA"/>
              <w:left w:val="single" w:sz="4" w:color="AAAAAA"/>
              <w:bottom w:val="single" w:sz="4" w:color="AAAAAA"/>
              <w:right w:val="single" w:sz="4" w:color="AAAAAA"/>
            </w:tcBorders>
          </w:tcPr>
          <w:p>
            <w:pPr>
              <w:jc w:val="left"/>
            </w:pPr>
            <w:r>
              <w:rPr>
                <w:b w:val="0"/>
                <w:sz w:val="18"/>
              </w:rPr>
              <w:t>Shared by B2C team</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Condition</w:t>
            </w:r>
          </w:p>
        </w:tc>
        <w:tc>
          <w:tcPr>
            <w:tcW w:type="dxa" w:w="6336"/>
            <w:tcBorders>
              <w:top w:val="single" w:sz="4" w:color="AAAAAA"/>
              <w:left w:val="single" w:sz="4" w:color="AAAAAA"/>
              <w:bottom w:val="single" w:sz="4" w:color="AAAAAA"/>
              <w:right w:val="single" w:sz="4" w:color="AAAAAA"/>
            </w:tcBorders>
          </w:tcPr>
          <w:p>
            <w:pPr>
              <w:jc w:val="left"/>
            </w:pPr>
            <w:r>
              <w:rPr>
                <w:b w:val="0"/>
                <w:sz w:val="18"/>
              </w:rPr>
              <w:t>Both sign-up and referral must be done within the campaign period</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Introduced</w:t>
            </w:r>
          </w:p>
        </w:tc>
        <w:tc>
          <w:tcPr>
            <w:tcW w:type="dxa" w:w="6336"/>
            <w:tcBorders>
              <w:top w:val="single" w:sz="4" w:color="AAAAAA"/>
              <w:left w:val="single" w:sz="4" w:color="AAAAAA"/>
              <w:bottom w:val="single" w:sz="4" w:color="AAAAAA"/>
              <w:right w:val="single" w:sz="4" w:color="AAAAAA"/>
            </w:tcBorders>
          </w:tcPr>
          <w:p>
            <w:pPr>
              <w:jc w:val="left"/>
            </w:pPr>
            <w:r>
              <w:rPr>
                <w:b w:val="0"/>
                <w:sz w:val="18"/>
              </w:rPr>
              <w:t>May 2025 (not present in Apr 2025)</w:t>
            </w:r>
          </w:p>
        </w:tc>
      </w:tr>
    </w:tbl>
    <w:p/>
    <w:p>
      <w:pPr>
        <w:pStyle w:val="Heading2"/>
      </w:pPr>
      <w:r>
        <w:rPr>
          <w:color w:val="1F497D"/>
        </w:rPr>
        <w:t>4.3 Changes in MyBL Recharge Condition</w:t>
      </w:r>
    </w:p>
    <w:tbl>
      <w:tblPr>
        <w:tblStyle w:val="TableGrid"/>
        <w:tblW w:type="auto" w:w="0"/>
        <w:tblLook w:firstColumn="1" w:firstRow="1" w:lastColumn="0" w:lastRow="0" w:noHBand="0" w:noVBand="1" w:val="04A0"/>
      </w:tblPr>
      <w:tblGrid>
        <w:gridCol w:w="4536"/>
        <w:gridCol w:w="4536"/>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Apr 2025 – Oct 2025</w:t>
            </w:r>
          </w:p>
        </w:tc>
        <w:tc>
          <w:tcPr>
            <w:tcW w:type="dxa" w:w="6336"/>
            <w:tcBorders>
              <w:top w:val="single" w:sz="4" w:color="AAAAAA"/>
              <w:left w:val="single" w:sz="4" w:color="AAAAAA"/>
              <w:bottom w:val="single" w:sz="4" w:color="AAAAAA"/>
              <w:right w:val="single" w:sz="4" w:color="AAAAAA"/>
            </w:tcBorders>
          </w:tcPr>
          <w:p>
            <w:pPr>
              <w:jc w:val="left"/>
            </w:pPr>
            <w:r>
              <w:rPr>
                <w:b w:val="0"/>
                <w:sz w:val="18"/>
              </w:rPr>
              <w:t>Customer must recharge any amount by last day of the campaign month (for MyBL Only)</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Nov 2025 onward</w:t>
            </w:r>
          </w:p>
        </w:tc>
        <w:tc>
          <w:tcPr>
            <w:tcW w:type="dxa" w:w="6336"/>
            <w:tcBorders>
              <w:top w:val="single" w:sz="4" w:color="AAAAAA"/>
              <w:left w:val="single" w:sz="4" w:color="AAAAAA"/>
              <w:bottom w:val="single" w:sz="4" w:color="AAAAAA"/>
              <w:right w:val="single" w:sz="4" w:color="AAAAAA"/>
            </w:tcBorders>
          </w:tcPr>
          <w:p>
            <w:pPr>
              <w:jc w:val="left"/>
            </w:pPr>
            <w:r>
              <w:rPr>
                <w:b w:val="0"/>
                <w:sz w:val="18"/>
              </w:rPr>
              <w:t>Explicit per-month recharge deadline removed from SRF conditions (Toffee never had this condition)</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Impact</w:t>
            </w:r>
          </w:p>
        </w:tc>
        <w:tc>
          <w:tcPr>
            <w:tcW w:type="dxa" w:w="6336"/>
            <w:tcBorders>
              <w:top w:val="single" w:sz="4" w:color="AAAAAA"/>
              <w:left w:val="single" w:sz="4" w:color="AAAAAA"/>
              <w:bottom w:val="single" w:sz="4" w:color="AAAAAA"/>
              <w:right w:val="single" w:sz="4" w:color="AAAAAA"/>
            </w:tcBorders>
          </w:tcPr>
          <w:p>
            <w:pPr>
              <w:jc w:val="left"/>
            </w:pPr>
            <w:r>
              <w:rPr>
                <w:b w:val="0"/>
                <w:sz w:val="18"/>
              </w:rPr>
              <w:t>The removal of the recharge condition from Nov 2025 makes MyBL hits easier to qualify — sign-up + referral within period is sufficient</w:t>
            </w:r>
          </w:p>
        </w:tc>
      </w:tr>
    </w:tbl>
    <w:p/>
    <w:p>
      <w:r>
        <w:br w:type="page"/>
      </w:r>
    </w:p>
    <w:p>
      <w:pPr>
        <w:pStyle w:val="Heading1"/>
      </w:pPr>
      <w:r>
        <w:rPr>
          <w:color w:val="1F497D"/>
        </w:rPr>
        <w:t>5. KPI 3 — GA Quality (48hr Usage) Incentive</w:t>
      </w:r>
    </w:p>
    <w:p>
      <w:pPr>
        <w:spacing w:before="0" w:after="160"/>
      </w:pPr>
      <w:r>
        <w:rPr>
          <w:b w:val="0"/>
          <w:i w:val="0"/>
          <w:sz w:val="20"/>
        </w:rPr>
        <w:t>A 48-hour usage quality incentive was added from May 2025:</w:t>
      </w:r>
    </w:p>
    <w:tbl>
      <w:tblPr>
        <w:tblStyle w:val="TableGrid"/>
        <w:tblW w:type="auto" w:w="0"/>
        <w:tblLook w:firstColumn="1" w:firstRow="1" w:lastColumn="0" w:lastRow="0" w:noHBand="0" w:noVBand="1" w:val="04A0"/>
      </w:tblPr>
      <w:tblGrid>
        <w:gridCol w:w="4536"/>
        <w:gridCol w:w="4536"/>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336"/>
            <w:tcBorders>
              <w:top w:val="single" w:sz="4" w:color="AAAAAA"/>
              <w:left w:val="single" w:sz="4" w:color="AAAAAA"/>
              <w:bottom w:val="single" w:sz="4" w:color="AAAAAA"/>
              <w:right w:val="single" w:sz="4" w:color="AAAAAA"/>
            </w:tcBorders>
          </w:tcPr>
          <w:p>
            <w:pPr>
              <w:jc w:val="left"/>
            </w:pPr>
            <w:r>
              <w:rPr>
                <w:b w:val="0"/>
                <w:sz w:val="18"/>
              </w:rPr>
              <w:t>GA Quality — 48 Hour Usage Incentive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Applicable Period</w:t>
            </w:r>
          </w:p>
        </w:tc>
        <w:tc>
          <w:tcPr>
            <w:tcW w:type="dxa" w:w="6336"/>
            <w:tcBorders>
              <w:top w:val="single" w:sz="4" w:color="AAAAAA"/>
              <w:left w:val="single" w:sz="4" w:color="AAAAAA"/>
              <w:bottom w:val="single" w:sz="4" w:color="AAAAAA"/>
              <w:right w:val="single" w:sz="4" w:color="AAAAAA"/>
            </w:tcBorders>
          </w:tcPr>
          <w:p>
            <w:pPr>
              <w:jc w:val="left"/>
            </w:pPr>
            <w:r>
              <w:rPr>
                <w:b w:val="0"/>
                <w:sz w:val="18"/>
              </w:rPr>
              <w:t>May 2025 – October 2025 (not present in Apr 2025; dropped Nov 2025 onward when VLR replaced it)</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48hr Usage Definition</w:t>
            </w:r>
          </w:p>
        </w:tc>
        <w:tc>
          <w:tcPr>
            <w:tcW w:type="dxa" w:w="6336"/>
            <w:tcBorders>
              <w:top w:val="single" w:sz="4" w:color="AAAAAA"/>
              <w:left w:val="single" w:sz="4" w:color="AAAAAA"/>
              <w:bottom w:val="single" w:sz="4" w:color="AAAAAA"/>
              <w:right w:val="single" w:sz="4" w:color="AAAAAA"/>
            </w:tcBorders>
          </w:tcPr>
          <w:p>
            <w:pPr>
              <w:jc w:val="left"/>
            </w:pPr>
            <w:r>
              <w:rPr>
                <w:b w:val="0"/>
                <w:sz w:val="18"/>
              </w:rPr>
              <w:t>Any revenue-generating activity within 48 hours of SIM activation</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Minimum Threshold</w:t>
            </w:r>
          </w:p>
        </w:tc>
        <w:tc>
          <w:tcPr>
            <w:tcW w:type="dxa" w:w="6336"/>
            <w:tcBorders>
              <w:top w:val="single" w:sz="4" w:color="AAAAAA"/>
              <w:left w:val="single" w:sz="4" w:color="AAAAAA"/>
              <w:bottom w:val="single" w:sz="4" w:color="AAAAAA"/>
              <w:right w:val="single" w:sz="4" w:color="AAAAAA"/>
            </w:tcBorders>
          </w:tcPr>
          <w:p>
            <w:pPr>
              <w:jc w:val="left"/>
            </w:pPr>
            <w:r>
              <w:rPr>
                <w:b w:val="0"/>
                <w:sz w:val="18"/>
              </w:rPr>
              <w:t>Minimum 75% of total activations must be 48hr-usage-qualified</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Payout Basis</w:t>
            </w:r>
          </w:p>
        </w:tc>
        <w:tc>
          <w:tcPr>
            <w:tcW w:type="dxa" w:w="6336"/>
            <w:tcBorders>
              <w:top w:val="single" w:sz="4" w:color="AAAAAA"/>
              <w:left w:val="single" w:sz="4" w:color="AAAAAA"/>
              <w:bottom w:val="single" w:sz="4" w:color="AAAAAA"/>
              <w:right w:val="single" w:sz="4" w:color="AAAAAA"/>
            </w:tcBorders>
          </w:tcPr>
          <w:p>
            <w:pPr>
              <w:jc w:val="left"/>
            </w:pPr>
            <w:r>
              <w:rPr>
                <w:b w:val="0"/>
                <w:sz w:val="18"/>
              </w:rPr>
              <w:t>Prorated based on achievement % (below 75% = zero; above = proportional)</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Maximum Incentive</w:t>
            </w:r>
          </w:p>
        </w:tc>
        <w:tc>
          <w:tcPr>
            <w:tcW w:type="dxa" w:w="6336"/>
            <w:tcBorders>
              <w:top w:val="single" w:sz="4" w:color="AAAAAA"/>
              <w:left w:val="single" w:sz="4" w:color="AAAAAA"/>
              <w:bottom w:val="single" w:sz="4" w:color="AAAAAA"/>
              <w:right w:val="single" w:sz="4" w:color="AAAAAA"/>
            </w:tcBorders>
          </w:tcPr>
          <w:p>
            <w:pPr>
              <w:jc w:val="left"/>
            </w:pPr>
            <w:r>
              <w:rPr>
                <w:b w:val="0"/>
                <w:sz w:val="18"/>
              </w:rPr>
              <w:t>BDT 1,000</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Data Source</w:t>
            </w:r>
          </w:p>
        </w:tc>
        <w:tc>
          <w:tcPr>
            <w:tcW w:type="dxa" w:w="6336"/>
            <w:tcBorders>
              <w:top w:val="single" w:sz="4" w:color="AAAAAA"/>
              <w:left w:val="single" w:sz="4" w:color="AAAAAA"/>
              <w:bottom w:val="single" w:sz="4" w:color="AAAAAA"/>
              <w:right w:val="single" w:sz="4" w:color="AAAAAA"/>
            </w:tcBorders>
          </w:tcPr>
          <w:p>
            <w:pPr>
              <w:jc w:val="left"/>
            </w:pPr>
            <w:r>
              <w:rPr>
                <w:b w:val="0"/>
                <w:sz w:val="18"/>
              </w:rPr>
              <w:t>Retailer-wise total activation and qualified 48hr count shared by B2C</w:t>
            </w:r>
          </w:p>
        </w:tc>
      </w:tr>
    </w:tbl>
    <w:p/>
    <w:p>
      <w:pPr>
        <w:spacing w:after="120"/>
        <w:ind w:left="432"/>
      </w:pPr>
      <w:r>
        <w:rPr>
          <w:i/>
          <w:color w:val="804000"/>
          <w:sz w:val="18"/>
        </w:rPr>
        <w:t>Note: The GA Quality incentive (48hr usage, max BDT 1,000) was effectively replaced by the VLR condition from Oct 2025. The VLR condition addresses the same quality objective (active usage post-activation) but uses VLR active status instead of 48hr revenue activity.</w:t>
      </w:r>
    </w:p>
    <w:p>
      <w:r>
        <w:br w:type="page"/>
      </w:r>
    </w:p>
    <w:p>
      <w:pPr>
        <w:pStyle w:val="Heading1"/>
      </w:pPr>
      <w:r>
        <w:rPr>
          <w:color w:val="1F497D"/>
        </w:rPr>
        <w:t>6. KPI 4 — Unique Outlet Coverage Incentive (Apr 2025 only)</w:t>
      </w:r>
    </w:p>
    <w:tbl>
      <w:tblPr>
        <w:tblStyle w:val="TableGrid"/>
        <w:tblW w:type="auto" w:w="0"/>
        <w:tblLook w:firstColumn="1" w:firstRow="1" w:lastColumn="0" w:lastRow="0" w:noHBand="0" w:noVBand="1" w:val="04A0"/>
      </w:tblPr>
      <w:tblGrid>
        <w:gridCol w:w="4536"/>
        <w:gridCol w:w="4536"/>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336"/>
            <w:tcBorders>
              <w:top w:val="single" w:sz="4" w:color="AAAAAA"/>
              <w:left w:val="single" w:sz="4" w:color="AAAAAA"/>
              <w:bottom w:val="single" w:sz="4" w:color="AAAAAA"/>
              <w:right w:val="single" w:sz="4" w:color="AAAAAA"/>
            </w:tcBorders>
          </w:tcPr>
          <w:p>
            <w:pPr>
              <w:jc w:val="left"/>
            </w:pPr>
            <w:r>
              <w:rPr>
                <w:b w:val="0"/>
                <w:sz w:val="18"/>
              </w:rPr>
              <w:t>Unique Outlet Coverage Incentive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Applicable Period</w:t>
            </w:r>
          </w:p>
        </w:tc>
        <w:tc>
          <w:tcPr>
            <w:tcW w:type="dxa" w:w="6336"/>
            <w:tcBorders>
              <w:top w:val="single" w:sz="4" w:color="AAAAAA"/>
              <w:left w:val="single" w:sz="4" w:color="AAAAAA"/>
              <w:bottom w:val="single" w:sz="4" w:color="AAAAAA"/>
              <w:right w:val="single" w:sz="4" w:color="AAAAAA"/>
            </w:tcBorders>
          </w:tcPr>
          <w:p>
            <w:pPr>
              <w:jc w:val="left"/>
            </w:pPr>
            <w:r>
              <w:rPr>
                <w:b w:val="0"/>
                <w:sz w:val="18"/>
              </w:rPr>
              <w:t>April 2025 only</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Counting</w:t>
            </w:r>
          </w:p>
        </w:tc>
        <w:tc>
          <w:tcPr>
            <w:tcW w:type="dxa" w:w="6336"/>
            <w:tcBorders>
              <w:top w:val="single" w:sz="4" w:color="AAAAAA"/>
              <w:left w:val="single" w:sz="4" w:color="AAAAAA"/>
              <w:bottom w:val="single" w:sz="4" w:color="AAAAAA"/>
              <w:right w:val="single" w:sz="4" w:color="AAAAAA"/>
            </w:tcBorders>
          </w:tcPr>
          <w:p>
            <w:pPr>
              <w:jc w:val="left"/>
            </w:pPr>
            <w:r>
              <w:rPr>
                <w:b w:val="0"/>
                <w:sz w:val="18"/>
              </w:rPr>
              <w:t>Only unique outlets counted as achievement</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Visit Requirement</w:t>
            </w:r>
          </w:p>
        </w:tc>
        <w:tc>
          <w:tcPr>
            <w:tcW w:type="dxa" w:w="6336"/>
            <w:tcBorders>
              <w:top w:val="single" w:sz="4" w:color="AAAAAA"/>
              <w:left w:val="single" w:sz="4" w:color="AAAAAA"/>
              <w:bottom w:val="single" w:sz="4" w:color="AAAAAA"/>
              <w:right w:val="single" w:sz="4" w:color="AAAAAA"/>
            </w:tcBorders>
          </w:tcPr>
          <w:p>
            <w:pPr>
              <w:jc w:val="left"/>
            </w:pPr>
            <w:r>
              <w:rPr>
                <w:b w:val="0"/>
                <w:sz w:val="18"/>
              </w:rPr>
              <w:t>One-time visit sufficient to count as a unique outlet</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Minimum Achievement</w:t>
            </w:r>
          </w:p>
        </w:tc>
        <w:tc>
          <w:tcPr>
            <w:tcW w:type="dxa" w:w="6336"/>
            <w:tcBorders>
              <w:top w:val="single" w:sz="4" w:color="AAAAAA"/>
              <w:left w:val="single" w:sz="4" w:color="AAAAAA"/>
              <w:bottom w:val="single" w:sz="4" w:color="AAAAAA"/>
              <w:right w:val="single" w:sz="4" w:color="AAAAAA"/>
            </w:tcBorders>
          </w:tcPr>
          <w:p>
            <w:pPr>
              <w:jc w:val="left"/>
            </w:pPr>
            <w:r>
              <w:rPr>
                <w:b w:val="0"/>
                <w:sz w:val="18"/>
              </w:rPr>
              <w:t>50% of target (below 50% = zero payout)</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Payout Basis</w:t>
            </w:r>
          </w:p>
        </w:tc>
        <w:tc>
          <w:tcPr>
            <w:tcW w:type="dxa" w:w="6336"/>
            <w:tcBorders>
              <w:top w:val="single" w:sz="4" w:color="AAAAAA"/>
              <w:left w:val="single" w:sz="4" w:color="AAAAAA"/>
              <w:bottom w:val="single" w:sz="4" w:color="AAAAAA"/>
              <w:right w:val="single" w:sz="4" w:color="AAAAAA"/>
            </w:tcBorders>
          </w:tcPr>
          <w:p>
            <w:pPr>
              <w:jc w:val="left"/>
            </w:pPr>
            <w:r>
              <w:rPr>
                <w:b w:val="0"/>
                <w:sz w:val="18"/>
              </w:rPr>
              <w:t>Prorated — max payout at 100% achievement</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Maximum Incentive</w:t>
            </w:r>
          </w:p>
        </w:tc>
        <w:tc>
          <w:tcPr>
            <w:tcW w:type="dxa" w:w="6336"/>
            <w:tcBorders>
              <w:top w:val="single" w:sz="4" w:color="AAAAAA"/>
              <w:left w:val="single" w:sz="4" w:color="AAAAAA"/>
              <w:bottom w:val="single" w:sz="4" w:color="AAAAAA"/>
              <w:right w:val="single" w:sz="4" w:color="AAAAAA"/>
            </w:tcBorders>
          </w:tcPr>
          <w:p>
            <w:pPr>
              <w:jc w:val="left"/>
            </w:pPr>
            <w:r>
              <w:rPr>
                <w:b w:val="0"/>
                <w:sz w:val="18"/>
              </w:rPr>
              <w:t>BDT 2,000</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Data Source</w:t>
            </w:r>
          </w:p>
        </w:tc>
        <w:tc>
          <w:tcPr>
            <w:tcW w:type="dxa" w:w="6336"/>
            <w:tcBorders>
              <w:top w:val="single" w:sz="4" w:color="AAAAAA"/>
              <w:left w:val="single" w:sz="4" w:color="AAAAAA"/>
              <w:bottom w:val="single" w:sz="4" w:color="AAAAAA"/>
              <w:right w:val="single" w:sz="4" w:color="AAAAAA"/>
            </w:tcBorders>
          </w:tcPr>
          <w:p>
            <w:pPr>
              <w:jc w:val="left"/>
            </w:pPr>
            <w:r>
              <w:rPr>
                <w:b w:val="0"/>
                <w:sz w:val="18"/>
              </w:rPr>
              <w:t>BP List + Unique outlet target and achievement shared by B2C</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POSM Execution</w:t>
            </w:r>
          </w:p>
        </w:tc>
        <w:tc>
          <w:tcPr>
            <w:tcW w:type="dxa" w:w="6336"/>
            <w:tcBorders>
              <w:top w:val="single" w:sz="4" w:color="AAAAAA"/>
              <w:left w:val="single" w:sz="4" w:color="AAAAAA"/>
              <w:bottom w:val="single" w:sz="4" w:color="AAAAAA"/>
              <w:right w:val="single" w:sz="4" w:color="AAAAAA"/>
            </w:tcBorders>
          </w:tcPr>
          <w:p>
            <w:pPr>
              <w:jc w:val="left"/>
            </w:pPr>
            <w:r>
              <w:rPr>
                <w:b w:val="0"/>
                <w:sz w:val="18"/>
              </w:rPr>
              <w:t>POSM Execution data considered from DMS</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DD Change Rule</w:t>
            </w:r>
          </w:p>
        </w:tc>
        <w:tc>
          <w:tcPr>
            <w:tcW w:type="dxa" w:w="6336"/>
            <w:tcBorders>
              <w:top w:val="single" w:sz="4" w:color="AAAAAA"/>
              <w:left w:val="single" w:sz="4" w:color="AAAAAA"/>
              <w:bottom w:val="single" w:sz="4" w:color="AAAAAA"/>
              <w:right w:val="single" w:sz="4" w:color="AAAAAA"/>
            </w:tcBorders>
          </w:tcPr>
          <w:p>
            <w:pPr>
              <w:jc w:val="left"/>
            </w:pPr>
            <w:r>
              <w:rPr>
                <w:b w:val="0"/>
                <w:sz w:val="18"/>
              </w:rPr>
              <w:t>If DD code changed during month, cumulative achievement for both old and new Merchandiser codes considered</w:t>
            </w:r>
          </w:p>
        </w:tc>
      </w:tr>
    </w:tbl>
    <w:p/>
    <w:p>
      <w:pPr>
        <w:spacing w:after="120"/>
        <w:ind w:left="432"/>
      </w:pPr>
      <w:r>
        <w:rPr>
          <w:i/>
          <w:color w:val="804000"/>
          <w:sz w:val="18"/>
        </w:rPr>
        <w:t>Note: The Unique Outlet Coverage KPI appeared only in the April 2025 SRF and was not carried forward to subsequent months. It is the only KPI in this series directly tied to physical outlet visit activity.</w:t>
      </w:r>
    </w:p>
    <w:p>
      <w:r>
        <w:br w:type="page"/>
      </w:r>
    </w:p>
    <w:p>
      <w:pPr>
        <w:pStyle w:val="Heading1"/>
      </w:pPr>
      <w:r>
        <w:rPr>
          <w:color w:val="1F497D"/>
        </w:rPr>
        <w:t>7. KPI 5 — FR (First Recharge) Incentive (Apr 2025 only)</w:t>
      </w:r>
    </w:p>
    <w:p>
      <w:pPr>
        <w:spacing w:before="0" w:after="160"/>
      </w:pPr>
      <w:r>
        <w:rPr>
          <w:b w:val="0"/>
          <w:i w:val="0"/>
          <w:sz w:val="20"/>
        </w:rPr>
        <w:t>April 2025 had a unique FR-linked variable incentive structure distinct from all other months:</w:t>
      </w:r>
    </w:p>
    <w:tbl>
      <w:tblPr>
        <w:tblStyle w:val="TableGrid"/>
        <w:tblW w:type="auto" w:w="0"/>
        <w:tblLook w:firstColumn="1" w:firstRow="1" w:lastColumn="0" w:lastRow="0" w:noHBand="0" w:noVBand="1" w:val="04A0"/>
      </w:tblPr>
      <w:tblGrid>
        <w:gridCol w:w="4536"/>
        <w:gridCol w:w="4536"/>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336"/>
            <w:tcBorders>
              <w:top w:val="single" w:sz="4" w:color="AAAAAA"/>
              <w:left w:val="single" w:sz="4" w:color="AAAAAA"/>
              <w:bottom w:val="single" w:sz="4" w:color="AAAAAA"/>
              <w:right w:val="single" w:sz="4" w:color="AAAAAA"/>
            </w:tcBorders>
          </w:tcPr>
          <w:p>
            <w:pPr>
              <w:jc w:val="left"/>
            </w:pPr>
            <w:r>
              <w:rPr>
                <w:b w:val="0"/>
                <w:sz w:val="18"/>
              </w:rPr>
              <w:t>FR-Qualified GA Variable Incentive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Applicable Period</w:t>
            </w:r>
          </w:p>
        </w:tc>
        <w:tc>
          <w:tcPr>
            <w:tcW w:type="dxa" w:w="6336"/>
            <w:tcBorders>
              <w:top w:val="single" w:sz="4" w:color="AAAAAA"/>
              <w:left w:val="single" w:sz="4" w:color="AAAAAA"/>
              <w:bottom w:val="single" w:sz="4" w:color="AAAAAA"/>
              <w:right w:val="single" w:sz="4" w:color="AAAAAA"/>
            </w:tcBorders>
          </w:tcPr>
          <w:p>
            <w:pPr>
              <w:jc w:val="left"/>
            </w:pPr>
            <w:r>
              <w:rPr>
                <w:b w:val="0"/>
                <w:sz w:val="18"/>
              </w:rPr>
              <w:t>April 2025 only</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FR Codes</w:t>
            </w:r>
          </w:p>
        </w:tc>
        <w:tc>
          <w:tcPr>
            <w:tcW w:type="dxa" w:w="6336"/>
            <w:tcBorders>
              <w:top w:val="single" w:sz="4" w:color="AAAAAA"/>
              <w:left w:val="single" w:sz="4" w:color="AAAAAA"/>
              <w:bottom w:val="single" w:sz="4" w:color="AAAAAA"/>
              <w:right w:val="single" w:sz="4" w:color="AAAAAA"/>
            </w:tcBorders>
          </w:tcPr>
          <w:p>
            <w:pPr>
              <w:jc w:val="left"/>
            </w:pPr>
            <w:r>
              <w:rPr>
                <w:b w:val="0"/>
                <w:sz w:val="18"/>
              </w:rPr>
              <w:t>48, 81, 222, 224, 104 (specific First Recharge denomination codes)</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Condition</w:t>
            </w:r>
          </w:p>
        </w:tc>
        <w:tc>
          <w:tcPr>
            <w:tcW w:type="dxa" w:w="6336"/>
            <w:tcBorders>
              <w:top w:val="single" w:sz="4" w:color="AAAAAA"/>
              <w:left w:val="single" w:sz="4" w:color="AAAAAA"/>
              <w:bottom w:val="single" w:sz="4" w:color="AAAAAA"/>
              <w:right w:val="single" w:sz="4" w:color="AAAAAA"/>
            </w:tcBorders>
          </w:tcPr>
          <w:p>
            <w:pPr>
              <w:jc w:val="left"/>
            </w:pPr>
            <w:r>
              <w:rPr>
                <w:b w:val="0"/>
                <w:sz w:val="18"/>
              </w:rPr>
              <w:t>Each additional GA (11th–20th) must have FR from one of the specified codes (48/81/222/224/104) AND be within 1–30 Apr 2025</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Rate</w:t>
            </w:r>
          </w:p>
        </w:tc>
        <w:tc>
          <w:tcPr>
            <w:tcW w:type="dxa" w:w="6336"/>
            <w:tcBorders>
              <w:top w:val="single" w:sz="4" w:color="AAAAAA"/>
              <w:left w:val="single" w:sz="4" w:color="AAAAAA"/>
              <w:bottom w:val="single" w:sz="4" w:color="AAAAAA"/>
              <w:right w:val="single" w:sz="4" w:color="AAAAAA"/>
            </w:tcBorders>
          </w:tcPr>
          <w:p>
            <w:pPr>
              <w:jc w:val="left"/>
            </w:pPr>
            <w:r>
              <w:rPr>
                <w:b w:val="0"/>
                <w:sz w:val="18"/>
              </w:rPr>
              <w:t>BDT 250 per FR-qualified GA</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Variable Range</w:t>
            </w:r>
          </w:p>
        </w:tc>
        <w:tc>
          <w:tcPr>
            <w:tcW w:type="dxa" w:w="6336"/>
            <w:tcBorders>
              <w:top w:val="single" w:sz="4" w:color="AAAAAA"/>
              <w:left w:val="single" w:sz="4" w:color="AAAAAA"/>
              <w:bottom w:val="single" w:sz="4" w:color="AAAAAA"/>
              <w:right w:val="single" w:sz="4" w:color="AAAAAA"/>
            </w:tcBorders>
          </w:tcPr>
          <w:p>
            <w:pPr>
              <w:jc w:val="left"/>
            </w:pPr>
            <w:r>
              <w:rPr>
                <w:b w:val="0"/>
                <w:sz w:val="18"/>
              </w:rPr>
              <w:t>11–20 GA (after hitting monthly GA target)</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Max Additional GA</w:t>
            </w:r>
          </w:p>
        </w:tc>
        <w:tc>
          <w:tcPr>
            <w:tcW w:type="dxa" w:w="6336"/>
            <w:tcBorders>
              <w:top w:val="single" w:sz="4" w:color="AAAAAA"/>
              <w:left w:val="single" w:sz="4" w:color="AAAAAA"/>
              <w:bottom w:val="single" w:sz="4" w:color="AAAAAA"/>
              <w:right w:val="single" w:sz="4" w:color="AAAAAA"/>
            </w:tcBorders>
          </w:tcPr>
          <w:p>
            <w:pPr>
              <w:jc w:val="left"/>
            </w:pPr>
            <w:r>
              <w:rPr>
                <w:b w:val="0"/>
                <w:sz w:val="18"/>
              </w:rPr>
              <w:t>10 (only 10 additional FR-qualified GA counted)</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Max Assessed GA</w:t>
            </w:r>
          </w:p>
        </w:tc>
        <w:tc>
          <w:tcPr>
            <w:tcW w:type="dxa" w:w="6336"/>
            <w:tcBorders>
              <w:top w:val="single" w:sz="4" w:color="AAAAAA"/>
              <w:left w:val="single" w:sz="4" w:color="AAAAAA"/>
              <w:bottom w:val="single" w:sz="4" w:color="AAAAAA"/>
              <w:right w:val="single" w:sz="4" w:color="AAAAAA"/>
            </w:tcBorders>
          </w:tcPr>
          <w:p>
            <w:pPr>
              <w:jc w:val="left"/>
            </w:pPr>
            <w:r>
              <w:rPr>
                <w:b w:val="0"/>
                <w:sz w:val="18"/>
              </w:rPr>
              <w:t>First 20 GA only assessed for both fixed and variable</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GA Attribution</w:t>
            </w:r>
          </w:p>
        </w:tc>
        <w:tc>
          <w:tcPr>
            <w:tcW w:type="dxa" w:w="6336"/>
            <w:tcBorders>
              <w:top w:val="single" w:sz="4" w:color="AAAAAA"/>
              <w:left w:val="single" w:sz="4" w:color="AAAAAA"/>
              <w:bottom w:val="single" w:sz="4" w:color="AAAAAA"/>
              <w:right w:val="single" w:sz="4" w:color="AAAAAA"/>
            </w:tcBorders>
          </w:tcPr>
          <w:p>
            <w:pPr>
              <w:jc w:val="left"/>
            </w:pPr>
            <w:r>
              <w:rPr>
                <w:b w:val="0"/>
                <w:sz w:val="18"/>
              </w:rPr>
              <w:t>Higher of: BP Wise Retailer FCD OR BP Wise SMART POS (ARRANGED-3)</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Usage Quality</w:t>
            </w:r>
          </w:p>
        </w:tc>
        <w:tc>
          <w:tcPr>
            <w:tcW w:type="dxa" w:w="6336"/>
            <w:tcBorders>
              <w:top w:val="single" w:sz="4" w:color="AAAAAA"/>
              <w:left w:val="single" w:sz="4" w:color="AAAAAA"/>
              <w:bottom w:val="single" w:sz="4" w:color="AAAAAA"/>
              <w:right w:val="single" w:sz="4" w:color="AAAAAA"/>
            </w:tcBorders>
          </w:tcPr>
          <w:p>
            <w:pPr>
              <w:jc w:val="left"/>
            </w:pPr>
            <w:r>
              <w:rPr>
                <w:b w:val="0"/>
                <w:sz w:val="18"/>
              </w:rPr>
              <w:t>Customer must use ≥10 minutes or 500 MB within assessment window</w:t>
            </w:r>
          </w:p>
        </w:tc>
      </w:tr>
    </w:tbl>
    <w:p/>
    <w:p>
      <w:pPr>
        <w:spacing w:after="120"/>
        <w:ind w:left="432"/>
      </w:pPr>
      <w:r>
        <w:rPr>
          <w:i/>
          <w:color w:val="804000"/>
          <w:sz w:val="18"/>
        </w:rPr>
        <w:t>Note: April 2025 is the only month where the variable incentive was tied to specific First Recharge denominations rather than any GA. The low cap (10 extra GA) and high rate (BDT 250/GA) make this the most targeted and highest per-GA rate in the entire BP Variable series.</w:t>
      </w:r>
    </w:p>
    <w:p>
      <w:r>
        <w:br w:type="page"/>
      </w:r>
    </w:p>
    <w:p>
      <w:pPr>
        <w:pStyle w:val="Heading1"/>
      </w:pPr>
      <w:r>
        <w:rPr>
          <w:color w:val="1F497D"/>
        </w:rPr>
        <w:t>8. KPI 6 — Daily Productivity Incentive (Feb 2026 onward)</w:t>
      </w:r>
    </w:p>
    <w:tbl>
      <w:tblPr>
        <w:tblStyle w:val="TableGrid"/>
        <w:tblW w:type="auto" w:w="0"/>
        <w:tblLook w:firstColumn="1" w:firstRow="1" w:lastColumn="0" w:lastRow="0" w:noHBand="0" w:noVBand="1" w:val="04A0"/>
      </w:tblPr>
      <w:tblGrid>
        <w:gridCol w:w="4536"/>
        <w:gridCol w:w="4536"/>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336"/>
            <w:tcBorders>
              <w:top w:val="single" w:sz="4" w:color="AAAAAA"/>
              <w:left w:val="single" w:sz="4" w:color="AAAAAA"/>
              <w:bottom w:val="single" w:sz="4" w:color="AAAAAA"/>
              <w:right w:val="single" w:sz="4" w:color="AAAAAA"/>
            </w:tcBorders>
          </w:tcPr>
          <w:p>
            <w:pPr>
              <w:jc w:val="left"/>
            </w:pPr>
            <w:r>
              <w:rPr>
                <w:b w:val="0"/>
                <w:sz w:val="18"/>
              </w:rPr>
              <w:t>Daily Productivity Incentive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Applicable Period</w:t>
            </w:r>
          </w:p>
        </w:tc>
        <w:tc>
          <w:tcPr>
            <w:tcW w:type="dxa" w:w="6336"/>
            <w:tcBorders>
              <w:top w:val="single" w:sz="4" w:color="AAAAAA"/>
              <w:left w:val="single" w:sz="4" w:color="AAAAAA"/>
              <w:bottom w:val="single" w:sz="4" w:color="AAAAAA"/>
              <w:right w:val="single" w:sz="4" w:color="AAAAAA"/>
            </w:tcBorders>
          </w:tcPr>
          <w:p>
            <w:pPr>
              <w:jc w:val="left"/>
            </w:pPr>
            <w:r>
              <w:rPr>
                <w:b w:val="0"/>
                <w:sz w:val="18"/>
              </w:rPr>
              <w:t>February 2026, March 2026, April 2026</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Eligibility Condition</w:t>
            </w:r>
          </w:p>
        </w:tc>
        <w:tc>
          <w:tcPr>
            <w:tcW w:type="dxa" w:w="6336"/>
            <w:tcBorders>
              <w:top w:val="single" w:sz="4" w:color="AAAAAA"/>
              <w:left w:val="single" w:sz="4" w:color="AAAAAA"/>
              <w:bottom w:val="single" w:sz="4" w:color="AAAAAA"/>
              <w:right w:val="single" w:sz="4" w:color="AAAAAA"/>
            </w:tcBorders>
          </w:tcPr>
          <w:p>
            <w:pPr>
              <w:jc w:val="left"/>
            </w:pPr>
            <w:r>
              <w:rPr>
                <w:b w:val="0"/>
                <w:sz w:val="18"/>
              </w:rPr>
              <w:t>Minimum 10 days in the month with ≥4 GA per day</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Maximum Days Counted</w:t>
            </w:r>
          </w:p>
        </w:tc>
        <w:tc>
          <w:tcPr>
            <w:tcW w:type="dxa" w:w="6336"/>
            <w:tcBorders>
              <w:top w:val="single" w:sz="4" w:color="AAAAAA"/>
              <w:left w:val="single" w:sz="4" w:color="AAAAAA"/>
              <w:bottom w:val="single" w:sz="4" w:color="AAAAAA"/>
              <w:right w:val="single" w:sz="4" w:color="AAAAAA"/>
            </w:tcBorders>
          </w:tcPr>
          <w:p>
            <w:pPr>
              <w:jc w:val="left"/>
            </w:pPr>
            <w:r>
              <w:rPr>
                <w:b w:val="0"/>
                <w:sz w:val="18"/>
              </w:rPr>
              <w:t>20 days</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Rate</w:t>
            </w:r>
          </w:p>
        </w:tc>
        <w:tc>
          <w:tcPr>
            <w:tcW w:type="dxa" w:w="6336"/>
            <w:tcBorders>
              <w:top w:val="single" w:sz="4" w:color="AAAAAA"/>
              <w:left w:val="single" w:sz="4" w:color="AAAAAA"/>
              <w:bottom w:val="single" w:sz="4" w:color="AAAAAA"/>
              <w:right w:val="single" w:sz="4" w:color="AAAAAA"/>
            </w:tcBorders>
          </w:tcPr>
          <w:p>
            <w:pPr>
              <w:jc w:val="left"/>
            </w:pPr>
            <w:r>
              <w:rPr>
                <w:b w:val="0"/>
                <w:sz w:val="18"/>
              </w:rPr>
              <w:t>BDT 50 per eligible day</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Maximum Incentive</w:t>
            </w:r>
          </w:p>
        </w:tc>
        <w:tc>
          <w:tcPr>
            <w:tcW w:type="dxa" w:w="6336"/>
            <w:tcBorders>
              <w:top w:val="single" w:sz="4" w:color="AAAAAA"/>
              <w:left w:val="single" w:sz="4" w:color="AAAAAA"/>
              <w:bottom w:val="single" w:sz="4" w:color="AAAAAA"/>
              <w:right w:val="single" w:sz="4" w:color="AAAAAA"/>
            </w:tcBorders>
          </w:tcPr>
          <w:p>
            <w:pPr>
              <w:jc w:val="left"/>
            </w:pPr>
            <w:r>
              <w:rPr>
                <w:b w:val="0"/>
                <w:sz w:val="18"/>
              </w:rPr>
              <w:t>BDT 1,000 (20 days × BDT 50)</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Data Source</w:t>
            </w:r>
          </w:p>
        </w:tc>
        <w:tc>
          <w:tcPr>
            <w:tcW w:type="dxa" w:w="6336"/>
            <w:tcBorders>
              <w:top w:val="single" w:sz="4" w:color="AAAAAA"/>
              <w:left w:val="single" w:sz="4" w:color="AAAAAA"/>
              <w:bottom w:val="single" w:sz="4" w:color="AAAAAA"/>
              <w:right w:val="single" w:sz="4" w:color="AAAAAA"/>
            </w:tcBorders>
          </w:tcPr>
          <w:p>
            <w:pPr>
              <w:jc w:val="left"/>
            </w:pPr>
            <w:r>
              <w:rPr>
                <w:b w:val="0"/>
                <w:sz w:val="18"/>
              </w:rPr>
              <w:t>Productivity Report shared by B2C</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Consistency</w:t>
            </w:r>
          </w:p>
        </w:tc>
        <w:tc>
          <w:tcPr>
            <w:tcW w:type="dxa" w:w="6336"/>
            <w:tcBorders>
              <w:top w:val="single" w:sz="4" w:color="AAAAAA"/>
              <w:left w:val="single" w:sz="4" w:color="AAAAAA"/>
              <w:bottom w:val="single" w:sz="4" w:color="AAAAAA"/>
              <w:right w:val="single" w:sz="4" w:color="AAAAAA"/>
            </w:tcBorders>
          </w:tcPr>
          <w:p>
            <w:pPr>
              <w:jc w:val="left"/>
            </w:pPr>
            <w:r>
              <w:rPr>
                <w:b w:val="0"/>
                <w:sz w:val="18"/>
              </w:rPr>
              <w:t>Identical parameters across Feb, Mar, Apr 2026</w:t>
            </w:r>
          </w:p>
        </w:tc>
      </w:tr>
    </w:tbl>
    <w:p/>
    <w:p>
      <w:pPr>
        <w:spacing w:after="120"/>
        <w:ind w:left="432"/>
      </w:pPr>
      <w:r>
        <w:rPr>
          <w:i/>
          <w:color w:val="804000"/>
          <w:sz w:val="18"/>
        </w:rPr>
        <w:t>Note: The Daily Productivity KPI incentivizes consistent daily performance (≥4 GA/day for ≥10 days) rather than just monthly total. It was introduced in Feb 2026 alongside the Central Cluster/Rest Cluster split and replaced the GA Quality (48hr) incentive that ran May–Oct 2025.</w:t>
      </w:r>
    </w:p>
    <w:p>
      <w:r>
        <w:br w:type="page"/>
      </w:r>
    </w:p>
    <w:p>
      <w:pPr>
        <w:pStyle w:val="Heading1"/>
      </w:pPr>
      <w:r>
        <w:rPr>
          <w:color w:val="1F497D"/>
        </w:rPr>
        <w:t>9. Sub-Campaign Type 2 — Freelancer BP Variable Incentive (Central Cluster)</w:t>
      </w:r>
    </w:p>
    <w:p>
      <w:pPr>
        <w:spacing w:before="0" w:after="160"/>
      </w:pPr>
      <w:r>
        <w:rPr>
          <w:b w:val="0"/>
          <w:i w:val="0"/>
          <w:sz w:val="20"/>
        </w:rPr>
        <w:t>3 SRFs covering Freelancer BPs in the Central Cluster only (Feb–Apr 2026). Freelancer BPs have a fundamentally different incentive structure from standard BPs.</w:t>
      </w:r>
    </w:p>
    <w:p>
      <w:pPr>
        <w:pStyle w:val="Heading2"/>
      </w:pPr>
      <w:r>
        <w:rPr>
          <w:color w:val="1F497D"/>
        </w:rPr>
        <w:t>9.1 Freelancer BP Structure — Key Differences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Attribute</w:t>
            </w:r>
          </w:p>
        </w:tc>
        <w:tc>
          <w:tcPr>
            <w:tcW w:type="dxa" w:w="302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Standard BP Variable</w:t>
            </w:r>
          </w:p>
        </w:tc>
        <w:tc>
          <w:tcPr>
            <w:tcW w:type="dxa" w:w="302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Freelancer BP Variable (Central Cluster)</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Target Structure</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Monthly GA target provided by B2C; variable pay after target</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No monthly target — minimum absolute GA threshold instead</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Minimum GA</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Varies (dependent on target)</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50 GA minimum to qualify for any variable pay</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Maximum GA Counted</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120–165 GA (varies by month)</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150 GA (fixed)</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Rate</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BDT 85–120/GA (varies)</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BDT 100/GA for ALL GA if total ≥50</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GA Range</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Post-target (e.g., 71–165 GA)</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All GA from 1st GA if total ≥50 (no post-target threshold)</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BP Types</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Regular/LUS or Core/Emerging or New/Existing</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No sub-type classification</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Cluster</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All clusters</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Central Cluster only</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Daily Productivity</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Present (Feb–Apr 2026)</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Not included</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MyBL/Toffee</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Included</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Not included</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GA Quality (48hr)</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Included (May–Oct 2025)</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Not included</w:t>
            </w:r>
          </w:p>
        </w:tc>
      </w:tr>
    </w:tbl>
    <w:p/>
    <w:p>
      <w:pPr>
        <w:spacing w:after="120"/>
        <w:ind w:left="432"/>
      </w:pPr>
      <w:r>
        <w:rPr>
          <w:i/>
          <w:color w:val="804000"/>
          <w:sz w:val="18"/>
        </w:rPr>
        <w:t>Note: For Apr 2026, the Freelancer BP SRF clarified: 'Incentive will be BDT 100 PER GA for all GA if total GA ≥50. Example: If total GA = 55, then commission = 55 × BDT 100 = BDT 5,500 (VLR condition applies)'. This confirms the rate applies to ALL GA (not just post-50 GA).</w:t>
      </w:r>
    </w:p>
    <w:p>
      <w:pPr>
        <w:pStyle w:val="Heading2"/>
      </w:pPr>
      <w:r>
        <w:rPr>
          <w:color w:val="1F497D"/>
        </w:rPr>
        <w:t>9.2 VLR Condition — Freelancer SRFs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Month</w:t>
            </w:r>
          </w:p>
        </w:tc>
        <w:tc>
          <w:tcPr>
            <w:tcW w:type="dxa" w:w="181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VLR Threshold (Full)</w:t>
            </w:r>
          </w:p>
        </w:tc>
        <w:tc>
          <w:tcPr>
            <w:tcW w:type="dxa" w:w="181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VLR Threshold (Partial)</w:t>
            </w:r>
          </w:p>
        </w:tc>
        <w:tc>
          <w:tcPr>
            <w:tcW w:type="dxa" w:w="181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VLR Threshold (Zero)</w:t>
            </w:r>
          </w:p>
        </w:tc>
        <w:tc>
          <w:tcPr>
            <w:tcW w:type="dxa" w:w="181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Payout Type</w:t>
            </w:r>
          </w:p>
        </w:tc>
      </w:tr>
      <w:tr>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Feb 2026</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≥85%</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65%–&lt;85%</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&lt;65%</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VLR Active GA Only (partial)</w:t>
            </w:r>
          </w:p>
        </w:tc>
      </w:tr>
      <w:tr>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Mar 2026</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≥85%</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65%–&lt;85%</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&lt;65%</w:t>
            </w:r>
          </w:p>
        </w:tc>
        <w:tc>
          <w:tcPr>
            <w:tcW w:type="dxa" w:w="1814"/>
            <w:shd w:val="clear" w:color="auto" w:fill="FFFFFF"/>
            <w:tcBorders>
              <w:top w:val="single" w:sz="4" w:color="AAAAAA"/>
              <w:left w:val="single" w:sz="4" w:color="AAAAAA"/>
              <w:bottom w:val="single" w:sz="4" w:color="AAAAAA"/>
              <w:right w:val="single" w:sz="4" w:color="AAAAAA"/>
            </w:tcBorders>
          </w:tcPr>
          <w:p>
            <w:pPr>
              <w:jc w:val="left"/>
            </w:pPr>
            <w:r>
              <w:rPr>
                <w:b w:val="0"/>
                <w:sz w:val="18"/>
              </w:rPr>
              <w:t>Prorated Payout (change from Feb)</w:t>
            </w:r>
          </w:p>
        </w:tc>
      </w:tr>
      <w:tr>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Apr 2026</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≥85%</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65%–&lt;85%</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&lt;65%</w:t>
            </w:r>
          </w:p>
        </w:tc>
        <w:tc>
          <w:tcPr>
            <w:tcW w:type="dxa" w:w="1814"/>
            <w:shd w:val="clear" w:color="auto" w:fill="EBF3FB"/>
            <w:tcBorders>
              <w:top w:val="single" w:sz="4" w:color="AAAAAA"/>
              <w:left w:val="single" w:sz="4" w:color="AAAAAA"/>
              <w:bottom w:val="single" w:sz="4" w:color="AAAAAA"/>
              <w:right w:val="single" w:sz="4" w:color="AAAAAA"/>
            </w:tcBorders>
          </w:tcPr>
          <w:p>
            <w:pPr>
              <w:jc w:val="left"/>
            </w:pPr>
            <w:r>
              <w:rPr>
                <w:b w:val="0"/>
                <w:sz w:val="18"/>
              </w:rPr>
              <w:t>Prorated Payout</w:t>
            </w:r>
          </w:p>
        </w:tc>
      </w:tr>
    </w:tbl>
    <w:p/>
    <w:p>
      <w:pPr>
        <w:spacing w:after="120"/>
        <w:ind w:left="432"/>
      </w:pPr>
      <w:r>
        <w:rPr>
          <w:i/>
          <w:color w:val="804000"/>
          <w:sz w:val="18"/>
        </w:rPr>
        <w:t>Note: The Mar/Apr 2026 Freelancer SRFs changed the partial-tier label from 'VLR Active GA Only' to 'Prorated Payout' — indicating a shift from counting only VLR-active subscribers to proportional payout based on the VLR %. This is a more generous calculation method.</w:t>
      </w:r>
    </w:p>
    <w:p>
      <w:r>
        <w:br w:type="page"/>
      </w:r>
    </w:p>
    <w:p>
      <w:pPr>
        <w:pStyle w:val="Heading1"/>
      </w:pPr>
      <w:r>
        <w:rPr>
          <w:color w:val="1F497D"/>
        </w:rPr>
        <w:t>10. Sub-Campaign Type 3 — TechVan BP Variable Incentive</w:t>
      </w:r>
    </w:p>
    <w:p>
      <w:pPr>
        <w:spacing w:before="0" w:after="160"/>
      </w:pPr>
      <w:r>
        <w:rPr>
          <w:b w:val="0"/>
          <w:i w:val="0"/>
          <w:sz w:val="20"/>
        </w:rPr>
        <w:t>1 SRF (Mar 2026) covering TechVan BPs — entirely different KPI structure from standard BP Variable.</w:t>
      </w:r>
    </w:p>
    <w:p>
      <w:pPr>
        <w:pStyle w:val="Heading2"/>
      </w:pPr>
      <w:r>
        <w:rPr>
          <w:color w:val="1F497D"/>
        </w:rPr>
        <w:t>10.1 TechVan Campaign Structure</w:t>
      </w:r>
    </w:p>
    <w:tbl>
      <w:tblPr>
        <w:tblStyle w:val="TableGrid"/>
        <w:tblW w:type="auto" w:w="0"/>
        <w:tblLook w:firstColumn="1" w:firstRow="1" w:lastColumn="0" w:lastRow="0" w:noHBand="0" w:noVBand="1" w:val="04A0"/>
      </w:tblPr>
      <w:tblGrid>
        <w:gridCol w:w="4536"/>
        <w:gridCol w:w="4536"/>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SRF</w:t>
            </w:r>
          </w:p>
        </w:tc>
        <w:tc>
          <w:tcPr>
            <w:tcW w:type="dxa" w:w="6336"/>
            <w:tcBorders>
              <w:top w:val="single" w:sz="4" w:color="AAAAAA"/>
              <w:left w:val="single" w:sz="4" w:color="AAAAAA"/>
              <w:bottom w:val="single" w:sz="4" w:color="AAAAAA"/>
              <w:right w:val="single" w:sz="4" w:color="AAAAAA"/>
            </w:tcBorders>
          </w:tcPr>
          <w:p>
            <w:pPr>
              <w:jc w:val="left"/>
            </w:pPr>
            <w:r>
              <w:rPr>
                <w:b w:val="0"/>
                <w:sz w:val="18"/>
              </w:rPr>
              <w:t>TechVan BP Variable Incentive Mar26</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Requester</w:t>
            </w:r>
          </w:p>
        </w:tc>
        <w:tc>
          <w:tcPr>
            <w:tcW w:type="dxa" w:w="6336"/>
            <w:tcBorders>
              <w:top w:val="single" w:sz="4" w:color="AAAAAA"/>
              <w:left w:val="single" w:sz="4" w:color="AAAAAA"/>
              <w:bottom w:val="single" w:sz="4" w:color="AAAAAA"/>
              <w:right w:val="single" w:sz="4" w:color="AAAAAA"/>
            </w:tcBorders>
          </w:tcPr>
          <w:p>
            <w:pPr>
              <w:jc w:val="left"/>
            </w:pPr>
            <w:r>
              <w:rPr>
                <w:b w:val="0"/>
                <w:sz w:val="18"/>
              </w:rPr>
              <w:t>Murshida Begum Boby, Distribution Planning &amp; Operation</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Recipient Type</w:t>
            </w:r>
          </w:p>
        </w:tc>
        <w:tc>
          <w:tcPr>
            <w:tcW w:type="dxa" w:w="6336"/>
            <w:tcBorders>
              <w:top w:val="single" w:sz="4" w:color="AAAAAA"/>
              <w:left w:val="single" w:sz="4" w:color="AAAAAA"/>
              <w:bottom w:val="single" w:sz="4" w:color="AAAAAA"/>
              <w:right w:val="single" w:sz="4" w:color="AAAAAA"/>
            </w:tcBorders>
          </w:tcPr>
          <w:p>
            <w:pPr>
              <w:jc w:val="left"/>
            </w:pPr>
            <w:r>
              <w:rPr>
                <w:b w:val="0"/>
                <w:sz w:val="18"/>
              </w:rPr>
              <w:t>MDO (Mobile Device Operator / TechVan BP)</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Product</w:t>
            </w:r>
          </w:p>
        </w:tc>
        <w:tc>
          <w:tcPr>
            <w:tcW w:type="dxa" w:w="6336"/>
            <w:tcBorders>
              <w:top w:val="single" w:sz="4" w:color="AAAAAA"/>
              <w:left w:val="single" w:sz="4" w:color="AAAAAA"/>
              <w:bottom w:val="single" w:sz="4" w:color="AAAAAA"/>
              <w:right w:val="single" w:sz="4" w:color="AAAAAA"/>
            </w:tcBorders>
          </w:tcPr>
          <w:p>
            <w:pPr>
              <w:jc w:val="left"/>
            </w:pPr>
            <w:r>
              <w:rPr>
                <w:b w:val="0"/>
                <w:sz w:val="18"/>
              </w:rPr>
              <w:t>TechVan handsets: KN3 &amp; KM5 models</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Campaign Basis</w:t>
            </w:r>
          </w:p>
        </w:tc>
        <w:tc>
          <w:tcPr>
            <w:tcW w:type="dxa" w:w="6336"/>
            <w:tcBorders>
              <w:top w:val="single" w:sz="4" w:color="AAAAAA"/>
              <w:left w:val="single" w:sz="4" w:color="AAAAAA"/>
              <w:bottom w:val="single" w:sz="4" w:color="AAAAAA"/>
              <w:right w:val="single" w:sz="4" w:color="AAAAAA"/>
            </w:tcBorders>
          </w:tcPr>
          <w:p>
            <w:pPr>
              <w:jc w:val="left"/>
            </w:pPr>
            <w:r>
              <w:rPr>
                <w:b w:val="0"/>
                <w:sz w:val="18"/>
              </w:rPr>
              <w:t>Handset sales linked to Banglalink SIM activation</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SIM Tagging Condition</w:t>
            </w:r>
          </w:p>
        </w:tc>
        <w:tc>
          <w:tcPr>
            <w:tcW w:type="dxa" w:w="6336"/>
            <w:tcBorders>
              <w:top w:val="single" w:sz="4" w:color="AAAAAA"/>
              <w:left w:val="single" w:sz="4" w:color="AAAAAA"/>
              <w:bottom w:val="single" w:sz="4" w:color="AAAAAA"/>
              <w:right w:val="single" w:sz="4" w:color="AAAAAA"/>
            </w:tcBorders>
          </w:tcPr>
          <w:p>
            <w:pPr>
              <w:jc w:val="left"/>
            </w:pPr>
            <w:r>
              <w:rPr>
                <w:b w:val="0"/>
                <w:sz w:val="18"/>
              </w:rPr>
              <w:t>Handset MUST be tagged with a Banglalink SIM (new or existing); incentive only for BL-tagged handsets</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Campaign Period</w:t>
            </w:r>
          </w:p>
        </w:tc>
        <w:tc>
          <w:tcPr>
            <w:tcW w:type="dxa" w:w="6336"/>
            <w:tcBorders>
              <w:top w:val="single" w:sz="4" w:color="AAAAAA"/>
              <w:left w:val="single" w:sz="4" w:color="AAAAAA"/>
              <w:bottom w:val="single" w:sz="4" w:color="AAAAAA"/>
              <w:right w:val="single" w:sz="4" w:color="AAAAAA"/>
            </w:tcBorders>
          </w:tcPr>
          <w:p>
            <w:pPr>
              <w:jc w:val="left"/>
            </w:pPr>
            <w:r>
              <w:rPr>
                <w:b w:val="0"/>
                <w:sz w:val="18"/>
              </w:rPr>
              <w:t>1–31 March 2026</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Data Source</w:t>
            </w:r>
          </w:p>
        </w:tc>
        <w:tc>
          <w:tcPr>
            <w:tcW w:type="dxa" w:w="6336"/>
            <w:tcBorders>
              <w:top w:val="single" w:sz="4" w:color="AAAAAA"/>
              <w:left w:val="single" w:sz="4" w:color="AAAAAA"/>
              <w:bottom w:val="single" w:sz="4" w:color="AAAAAA"/>
              <w:right w:val="single" w:sz="4" w:color="AAAAAA"/>
            </w:tcBorders>
          </w:tcPr>
          <w:p>
            <w:pPr>
              <w:jc w:val="left"/>
            </w:pPr>
            <w:r>
              <w:rPr>
                <w:b w:val="0"/>
                <w:sz w:val="18"/>
              </w:rPr>
              <w:t>IT SC + IT BI + DWH + POS</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Maturity Date</w:t>
            </w:r>
          </w:p>
        </w:tc>
        <w:tc>
          <w:tcPr>
            <w:tcW w:type="dxa" w:w="6336"/>
            <w:tcBorders>
              <w:top w:val="single" w:sz="4" w:color="AAAAAA"/>
              <w:left w:val="single" w:sz="4" w:color="AAAAAA"/>
              <w:bottom w:val="single" w:sz="4" w:color="AAAAAA"/>
              <w:right w:val="single" w:sz="4" w:color="AAAAAA"/>
            </w:tcBorders>
          </w:tcPr>
          <w:p>
            <w:pPr>
              <w:jc w:val="left"/>
            </w:pPr>
            <w:r>
              <w:rPr>
                <w:b w:val="0"/>
                <w:sz w:val="18"/>
              </w:rPr>
              <w:t>5th of following month</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Usage Condition</w:t>
            </w:r>
          </w:p>
        </w:tc>
        <w:tc>
          <w:tcPr>
            <w:tcW w:type="dxa" w:w="6336"/>
            <w:tcBorders>
              <w:top w:val="single" w:sz="4" w:color="AAAAAA"/>
              <w:left w:val="single" w:sz="4" w:color="AAAAAA"/>
              <w:bottom w:val="single" w:sz="4" w:color="AAAAAA"/>
              <w:right w:val="single" w:sz="4" w:color="AAAAAA"/>
            </w:tcBorders>
          </w:tcPr>
          <w:p>
            <w:pPr>
              <w:jc w:val="left"/>
            </w:pPr>
            <w:r>
              <w:rPr>
                <w:b w:val="0"/>
                <w:sz w:val="18"/>
              </w:rPr>
              <w:t>No Play: any outgoing call or internet usage in calendar month in min 93% of GA</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ETSAF</w:t>
            </w:r>
          </w:p>
        </w:tc>
        <w:tc>
          <w:tcPr>
            <w:tcW w:type="dxa" w:w="6336"/>
            <w:tcBorders>
              <w:top w:val="single" w:sz="4" w:color="AAAAAA"/>
              <w:left w:val="single" w:sz="4" w:color="AAAAAA"/>
              <w:bottom w:val="single" w:sz="4" w:color="AAAAAA"/>
              <w:right w:val="single" w:sz="4" w:color="AAAAAA"/>
            </w:tcBorders>
          </w:tcPr>
          <w:p>
            <w:pPr>
              <w:jc w:val="left"/>
            </w:pPr>
            <w:r>
              <w:rPr>
                <w:b w:val="0"/>
                <w:sz w:val="18"/>
              </w:rPr>
              <w:t>98% of ETSAF (Total against activation before Disconnection) vetted and accepted within 7th of following month</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Rounding</w:t>
            </w:r>
          </w:p>
        </w:tc>
        <w:tc>
          <w:tcPr>
            <w:tcW w:type="dxa" w:w="6336"/>
            <w:tcBorders>
              <w:top w:val="single" w:sz="4" w:color="AAAAAA"/>
              <w:left w:val="single" w:sz="4" w:color="AAAAAA"/>
              <w:bottom w:val="single" w:sz="4" w:color="AAAAAA"/>
              <w:right w:val="single" w:sz="4" w:color="AAAAAA"/>
            </w:tcBorders>
          </w:tcPr>
          <w:p>
            <w:pPr>
              <w:jc w:val="left"/>
            </w:pPr>
            <w:r>
              <w:rPr>
                <w:b w:val="0"/>
                <w:sz w:val="18"/>
              </w:rPr>
              <w:t>General mathematical rounding (same &lt;0.5 / ≥0.5 rule)</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BP List</w:t>
            </w:r>
          </w:p>
        </w:tc>
        <w:tc>
          <w:tcPr>
            <w:tcW w:type="dxa" w:w="6336"/>
            <w:tcBorders>
              <w:top w:val="single" w:sz="4" w:color="AAAAAA"/>
              <w:left w:val="single" w:sz="4" w:color="AAAAAA"/>
              <w:bottom w:val="single" w:sz="4" w:color="AAAAAA"/>
              <w:right w:val="single" w:sz="4" w:color="AAAAAA"/>
            </w:tcBorders>
          </w:tcPr>
          <w:p>
            <w:pPr>
              <w:jc w:val="left"/>
            </w:pPr>
            <w:r>
              <w:rPr>
                <w:b w:val="0"/>
                <w:sz w:val="18"/>
              </w:rPr>
              <w:t>Provided by B2C</w:t>
            </w:r>
          </w:p>
        </w:tc>
      </w:tr>
    </w:tbl>
    <w:p/>
    <w:p>
      <w:pPr>
        <w:pStyle w:val="Heading2"/>
      </w:pPr>
      <w:r>
        <w:rPr>
          <w:color w:val="1F497D"/>
        </w:rPr>
        <w:t>10.2 TechVan — Handset+GA Slab Commission</w:t>
      </w:r>
    </w:p>
    <w:p>
      <w:pPr>
        <w:spacing w:before="0" w:after="120"/>
      </w:pPr>
      <w:r>
        <w:rPr>
          <w:b w:val="0"/>
          <w:i w:val="0"/>
          <w:sz w:val="20"/>
        </w:rPr>
        <w:t>Two campaign modalities based on how the handset was sold (channel type):</w:t>
      </w:r>
    </w:p>
    <w:p>
      <w:pPr>
        <w:spacing w:before="0" w:after="60"/>
      </w:pPr>
      <w:r>
        <w:rPr>
          <w:b/>
          <w:i w:val="0"/>
          <w:sz w:val="20"/>
        </w:rPr>
        <w:t>Modality 1: CHANNEL_LIFTED – OEM (Original Equipment Manufacturer channel):</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Handset with GA Qty (Slab)</w:t>
            </w:r>
          </w:p>
        </w:tc>
        <w:tc>
          <w:tcPr>
            <w:tcW w:type="dxa" w:w="302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Slab 1 Incentive (BDT)</w:t>
            </w:r>
          </w:p>
        </w:tc>
        <w:tc>
          <w:tcPr>
            <w:tcW w:type="dxa" w:w="302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Slab 2 Incentive (BDT)</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4 to 9</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4,000</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300</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10 to 19</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6,000</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500</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20 to 29</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8,000</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600</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30 to 39</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10,000</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700</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 40</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12,000</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700</w:t>
            </w:r>
          </w:p>
        </w:tc>
      </w:tr>
    </w:tbl>
    <w:p/>
    <w:p>
      <w:pPr>
        <w:spacing w:before="0" w:after="60"/>
      </w:pPr>
      <w:r>
        <w:rPr>
          <w:b/>
          <w:i w:val="0"/>
          <w:sz w:val="20"/>
        </w:rPr>
        <w:t>Modality 2: CHANNEL_LIFTED – MB (Mobile Bazaar / Retail channel):</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Handset with GA Sales Qty (Slab)</w:t>
            </w:r>
          </w:p>
        </w:tc>
        <w:tc>
          <w:tcPr>
            <w:tcW w:type="dxa" w:w="302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Slab 1 Incentive (BDT)</w:t>
            </w:r>
          </w:p>
        </w:tc>
        <w:tc>
          <w:tcPr>
            <w:tcW w:type="dxa" w:w="302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Slab 2 Incentive (BDT)</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0 to 4</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4,000</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400</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5 to 9</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6,000</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500</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10 to 19</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8,000</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600</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 20</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10,000</w:t>
            </w:r>
          </w:p>
        </w:tc>
        <w:tc>
          <w:tcPr>
            <w:tcW w:type="dxa" w:w="3024"/>
            <w:shd w:val="clear" w:color="auto" w:fill="FFF2CC"/>
            <w:tcBorders>
              <w:top w:val="single" w:sz="4" w:color="AAAAAA"/>
              <w:left w:val="single" w:sz="4" w:color="AAAAAA"/>
              <w:bottom w:val="single" w:sz="4" w:color="AAAAAA"/>
              <w:right w:val="single" w:sz="4" w:color="AAAAAA"/>
            </w:tcBorders>
          </w:tcPr>
          <w:p>
            <w:pPr>
              <w:jc w:val="left"/>
            </w:pPr>
            <w:r>
              <w:rPr>
                <w:b w:val="0"/>
                <w:sz w:val="18"/>
              </w:rPr>
              <w:t>700</w:t>
            </w:r>
          </w:p>
        </w:tc>
      </w:tr>
    </w:tbl>
    <w:p/>
    <w:tbl>
      <w:tblPr>
        <w:tblStyle w:val="TableGrid"/>
        <w:tblW w:type="auto" w:w="0"/>
        <w:tblLook w:firstColumn="1" w:firstRow="1" w:lastColumn="0" w:lastRow="0" w:noHBand="0" w:noVBand="1" w:val="04A0"/>
      </w:tblPr>
      <w:tblGrid>
        <w:gridCol w:w="4536"/>
        <w:gridCol w:w="4536"/>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Slab 1 vs Slab 2</w:t>
            </w:r>
          </w:p>
        </w:tc>
        <w:tc>
          <w:tcPr>
            <w:tcW w:type="dxa" w:w="6336"/>
            <w:tcBorders>
              <w:top w:val="single" w:sz="4" w:color="AAAAAA"/>
              <w:left w:val="single" w:sz="4" w:color="AAAAAA"/>
              <w:bottom w:val="single" w:sz="4" w:color="AAAAAA"/>
              <w:right w:val="single" w:sz="4" w:color="AAAAAA"/>
            </w:tcBorders>
          </w:tcPr>
          <w:p>
            <w:pPr>
              <w:jc w:val="left"/>
            </w:pPr>
            <w:r>
              <w:rPr>
                <w:b w:val="0"/>
                <w:sz w:val="18"/>
              </w:rPr>
              <w:t>Slab 1 = base handset volume incentive; Slab 2 = per-unit additional incentive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GA Link</w:t>
            </w:r>
          </w:p>
        </w:tc>
        <w:tc>
          <w:tcPr>
            <w:tcW w:type="dxa" w:w="6336"/>
            <w:tcBorders>
              <w:top w:val="single" w:sz="4" w:color="AAAAAA"/>
              <w:left w:val="single" w:sz="4" w:color="AAAAAA"/>
              <w:bottom w:val="single" w:sz="4" w:color="AAAAAA"/>
              <w:right w:val="single" w:sz="4" w:color="AAAAAA"/>
            </w:tcBorders>
          </w:tcPr>
          <w:p>
            <w:pPr>
              <w:jc w:val="left"/>
            </w:pPr>
            <w:r>
              <w:rPr>
                <w:b w:val="0"/>
                <w:sz w:val="18"/>
              </w:rPr>
              <w:t>Incentive tied to handsets WITH GA — handset must be sold WITH a new Banglalink activation</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Unique Feature</w:t>
            </w:r>
          </w:p>
        </w:tc>
        <w:tc>
          <w:tcPr>
            <w:tcW w:type="dxa" w:w="6336"/>
            <w:tcBorders>
              <w:top w:val="single" w:sz="4" w:color="AAAAAA"/>
              <w:left w:val="single" w:sz="4" w:color="AAAAAA"/>
              <w:bottom w:val="single" w:sz="4" w:color="AAAAAA"/>
              <w:right w:val="single" w:sz="4" w:color="AAAAAA"/>
            </w:tcBorders>
          </w:tcPr>
          <w:p>
            <w:pPr>
              <w:jc w:val="left"/>
            </w:pPr>
            <w:r>
              <w:rPr>
                <w:b w:val="0"/>
                <w:sz w:val="18"/>
              </w:rPr>
              <w:t>Only SRF in folder where incentive is based on physical device units sold, not pure GA count</w:t>
            </w:r>
          </w:p>
        </w:tc>
      </w:tr>
    </w:tbl>
    <w:p/>
    <w:p>
      <w:r>
        <w:br w:type="page"/>
      </w:r>
    </w:p>
    <w:p>
      <w:pPr>
        <w:pStyle w:val="Heading1"/>
      </w:pPr>
      <w:r>
        <w:rPr>
          <w:color w:val="1F497D"/>
        </w:rPr>
        <w:t>11. Maturity Date Evolution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SRF</w:t>
            </w:r>
          </w:p>
        </w:tc>
        <w:tc>
          <w:tcPr>
            <w:tcW w:type="dxa" w:w="302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Campaign Period</w:t>
            </w:r>
          </w:p>
        </w:tc>
        <w:tc>
          <w:tcPr>
            <w:tcW w:type="dxa" w:w="302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Maturity Date for Data</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BP Variable Apr25</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Apr 2025</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1st of following month</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BP Variable May25</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May 2025</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1st of following month</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BP Variable Jun25</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Jun 2025</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1st of following month</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BP Variable Jul25</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Jul 2025</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8th of following month</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BP Variable Aug25</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Aug 2025</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1st of following month</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BP Variable Aug25_Revision</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Aug 2025 (revised)</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1st of following month</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BP Variable Sep25</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Sep 2025</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8th of following month</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BP Variable Oct25</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Oct 2025</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8th of following month</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BP Variable Nov25</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Nov 2025</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8th of following month</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BP Variable Dec25</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Dec 2025</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8th of following month</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BP Variable Jan26</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Jan 2026</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8th of following month</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BP Variable Feb26</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Feb 2026</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8th of following month</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BP Variable Mar26</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Mar 2026</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8th of following month</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BP Variable Apr26</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Apr 2026</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3rd of following month</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Freelancer Central Feb26</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Feb 2026</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8th of following month</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Freelancer Central Mar26</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Mar 2026</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8th of following month</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Freelancer Central Apr26</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Apr 2026</w:t>
            </w:r>
          </w:p>
        </w:tc>
        <w:tc>
          <w:tcPr>
            <w:tcW w:type="dxa" w:w="3024"/>
            <w:shd w:val="clear" w:color="auto" w:fill="EBF3FB"/>
            <w:tcBorders>
              <w:top w:val="single" w:sz="4" w:color="AAAAAA"/>
              <w:left w:val="single" w:sz="4" w:color="AAAAAA"/>
              <w:bottom w:val="single" w:sz="4" w:color="AAAAAA"/>
              <w:right w:val="single" w:sz="4" w:color="AAAAAA"/>
            </w:tcBorders>
          </w:tcPr>
          <w:p>
            <w:pPr>
              <w:jc w:val="left"/>
            </w:pPr>
            <w:r>
              <w:rPr>
                <w:b w:val="0"/>
                <w:sz w:val="18"/>
              </w:rPr>
              <w:t>3rd of following month</w:t>
            </w:r>
          </w:p>
        </w:tc>
      </w:tr>
      <w:tr>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TechVan Mar26</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Mar 2026</w:t>
            </w:r>
          </w:p>
        </w:tc>
        <w:tc>
          <w:tcPr>
            <w:tcW w:type="dxa" w:w="3024"/>
            <w:shd w:val="clear" w:color="auto" w:fill="FFFFFF"/>
            <w:tcBorders>
              <w:top w:val="single" w:sz="4" w:color="AAAAAA"/>
              <w:left w:val="single" w:sz="4" w:color="AAAAAA"/>
              <w:bottom w:val="single" w:sz="4" w:color="AAAAAA"/>
              <w:right w:val="single" w:sz="4" w:color="AAAAAA"/>
            </w:tcBorders>
          </w:tcPr>
          <w:p>
            <w:pPr>
              <w:jc w:val="left"/>
            </w:pPr>
            <w:r>
              <w:rPr>
                <w:b w:val="0"/>
                <w:sz w:val="18"/>
              </w:rPr>
              <w:t>5th of following month</w:t>
            </w:r>
          </w:p>
        </w:tc>
      </w:tr>
    </w:tbl>
    <w:p/>
    <w:p>
      <w:r>
        <w:br w:type="page"/>
      </w:r>
    </w:p>
    <w:p>
      <w:pPr>
        <w:pStyle w:val="Heading1"/>
      </w:pPr>
      <w:r>
        <w:rPr>
          <w:color w:val="1F497D"/>
        </w:rPr>
        <w:t>12. Campaign-by-Campaign Quick Reference Table</w:t>
      </w:r>
    </w:p>
    <w:p>
      <w:pPr>
        <w:spacing w:before="0" w:after="160"/>
      </w:pPr>
      <w:r>
        <w:rPr>
          <w:b w:val="0"/>
          <w:i w:val="0"/>
          <w:sz w:val="20"/>
        </w:rPr>
        <w:t>All unique KPI parameters per SRF at a glance (Standard BP Variable SRFs):</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Month</w:t>
            </w:r>
          </w:p>
        </w:tc>
        <w:tc>
          <w:tcPr>
            <w:tcW w:type="dxa" w:w="100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Rate/GA</w:t>
            </w:r>
          </w:p>
        </w:tc>
        <w:tc>
          <w:tcPr>
            <w:tcW w:type="dxa" w:w="100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BP Types</w:t>
            </w:r>
          </w:p>
        </w:tc>
        <w:tc>
          <w:tcPr>
            <w:tcW w:type="dxa" w:w="100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GA Range (post-target)</w:t>
            </w:r>
          </w:p>
        </w:tc>
        <w:tc>
          <w:tcPr>
            <w:tcW w:type="dxa" w:w="100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VLR?</w:t>
            </w:r>
          </w:p>
        </w:tc>
        <w:tc>
          <w:tcPr>
            <w:tcW w:type="dxa" w:w="100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MyBL/Toffee</w:t>
            </w:r>
          </w:p>
        </w:tc>
        <w:tc>
          <w:tcPr>
            <w:tcW w:type="dxa" w:w="100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GA Quality</w:t>
            </w:r>
          </w:p>
        </w:tc>
        <w:tc>
          <w:tcPr>
            <w:tcW w:type="dxa" w:w="100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Daily Prod.</w:t>
            </w:r>
          </w:p>
        </w:tc>
        <w:tc>
          <w:tcPr>
            <w:tcW w:type="dxa" w:w="100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Other KPIs</w:t>
            </w:r>
          </w:p>
        </w:tc>
      </w:tr>
      <w:tr>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Apr 2025</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250 (FR-qualified)</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Single type</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11–20 (FR codes only)</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MyBL only (25 max)</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FR Incentive, Outlet Coverage</w:t>
            </w:r>
          </w:p>
        </w:tc>
      </w:tr>
      <w:tr>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May 2025</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85</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Single type</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51–120</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MyBL+Toffee (50 max)</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YES (75% min)</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w:t>
            </w:r>
          </w:p>
        </w:tc>
      </w:tr>
      <w:tr>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Jun 2025</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85</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Single type</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51–120</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MyBL+Toffee (50 max)</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YES (75% min)</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w:t>
            </w:r>
          </w:p>
        </w:tc>
      </w:tr>
      <w:tr>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Jul 2025</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85/100</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Regular/LUS</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51–120 / 41–100</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MyBL+Toffee</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YES (75% min)</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Cluster split (FCD vs FCD+SMART POS)</w:t>
            </w:r>
          </w:p>
        </w:tc>
      </w:tr>
      <w:tr>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Aug 2025</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100</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Regular/LUS</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61–120 / 51–110</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MyBL+Toffee</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YES (75% min)</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Cluster split; Revision SRF issued</w:t>
            </w:r>
          </w:p>
        </w:tc>
      </w:tr>
      <w:tr>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Sep 2025</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100</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Regular/LUS</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61–120 / 51–110</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MyBL+Toffee</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YES (75% min)</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Cluster split</w:t>
            </w:r>
          </w:p>
        </w:tc>
      </w:tr>
      <w:tr>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Oct 2025</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100</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Regular/LUS</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61–120 / 51–110</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YES (22–31 Oct, 80%)</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MyBL+Toffee</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YES (75% min)</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Partial VLR intro</w:t>
            </w:r>
          </w:p>
        </w:tc>
      </w:tr>
      <w:tr>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Nov 2025</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100</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Core/Emerging</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71/81–140/150</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YES (full month, 80%)</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MyBL+Toffee</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Market classification intro</w:t>
            </w:r>
          </w:p>
        </w:tc>
      </w:tr>
      <w:tr>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Dec 2025</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100</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Core/Emerging</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71/81–130/140</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YES (full month, 80%)</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MyBL+Toffee</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w:t>
            </w:r>
          </w:p>
        </w:tc>
      </w:tr>
      <w:tr>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Jan 2026</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100/120</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Core/Emg + Central New/Exist</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71/81–150/160; Central 71/81–155/165</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YES (80%)</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MyBL+Toffee</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Central Cluster BDT 120 rate intro</w:t>
            </w:r>
          </w:p>
        </w:tc>
      </w:tr>
      <w:tr>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Feb 2026</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100/120</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Same as Jan</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Same ranges</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YES (85%)</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MyBL+Toffee</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YES (BDT 50/day)</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VLR threshold raised; Daily Prod added</w:t>
            </w:r>
          </w:p>
        </w:tc>
      </w:tr>
      <w:tr>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Mar 2026</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100/120</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Same</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Same</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YES (85%)</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MyBL+Toffee</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YES</w:t>
            </w:r>
          </w:p>
        </w:tc>
        <w:tc>
          <w:tcPr>
            <w:tcW w:type="dxa" w:w="1008"/>
            <w:shd w:val="clear" w:color="auto" w:fill="FFFFFF"/>
            <w:tcBorders>
              <w:top w:val="single" w:sz="4" w:color="AAAAAA"/>
              <w:left w:val="single" w:sz="4" w:color="AAAAAA"/>
              <w:bottom w:val="single" w:sz="4" w:color="AAAAAA"/>
              <w:right w:val="single" w:sz="4" w:color="AAAAAA"/>
            </w:tcBorders>
          </w:tcPr>
          <w:p>
            <w:pPr>
              <w:jc w:val="left"/>
            </w:pPr>
            <w:r>
              <w:rPr>
                <w:b w:val="0"/>
                <w:sz w:val="18"/>
              </w:rPr>
              <w:t>—</w:t>
            </w:r>
          </w:p>
        </w:tc>
      </w:tr>
      <w:tr>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Apr 2026</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100/120</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Same + West-special</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Core: 71–150; West-special: 91–170</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YES (85%)</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MyBL+Toffee</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No</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YES</w:t>
            </w:r>
          </w:p>
        </w:tc>
        <w:tc>
          <w:tcPr>
            <w:tcW w:type="dxa" w:w="1008"/>
            <w:shd w:val="clear" w:color="auto" w:fill="EBF3FB"/>
            <w:tcBorders>
              <w:top w:val="single" w:sz="4" w:color="AAAAAA"/>
              <w:left w:val="single" w:sz="4" w:color="AAAAAA"/>
              <w:bottom w:val="single" w:sz="4" w:color="AAAAAA"/>
              <w:right w:val="single" w:sz="4" w:color="AAAAAA"/>
            </w:tcBorders>
          </w:tcPr>
          <w:p>
            <w:pPr>
              <w:jc w:val="left"/>
            </w:pPr>
            <w:r>
              <w:rPr>
                <w:b w:val="0"/>
                <w:sz w:val="18"/>
              </w:rPr>
              <w:t>West Cluster Barisal/KO/Jessore split</w:t>
            </w:r>
          </w:p>
        </w:tc>
      </w:tr>
    </w:tbl>
    <w:p/>
    <w:p>
      <w:pPr>
        <w:spacing w:before="0" w:after="100"/>
      </w:pPr>
      <w:r>
        <w:rPr>
          <w:b w:val="0"/>
          <w:i w:val="0"/>
          <w:sz w:val="20"/>
        </w:rPr>
      </w:r>
    </w:p>
    <w:p>
      <w:pPr>
        <w:spacing w:before="240" w:after="0"/>
      </w:pPr>
      <w:r>
        <w:rPr>
          <w:b w:val="0"/>
          <w:i w:val="0"/>
          <w:sz w:val="16"/>
        </w:rPr>
        <w:t>Document generated from 18 BP Variable SRFs (Apr 2025 – Apr 2026).</w:t>
      </w:r>
    </w:p>
    <w:p>
      <w:pPr>
        <w:spacing w:before="0" w:after="0"/>
      </w:pPr>
      <w:r>
        <w:rPr>
          <w:b w:val="0"/>
          <w:i w:val="0"/>
          <w:sz w:val="16"/>
        </w:rPr>
        <w:t>Requesters: Istyaque Hossain (Trade Marketing) | Murshida Begum Boby (Distribution Planning &amp; Operation).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