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47B"/>
          <w:sz w:val="44"/>
        </w:rPr>
        <w:t>BSP CCR KPI</w:t>
      </w:r>
    </w:p>
    <w:p>
      <w:pPr>
        <w:jc w:val="center"/>
      </w:pPr>
      <w:r>
        <w:rPr>
          <w:b/>
          <w:color w:val="2E74B5"/>
          <w:sz w:val="32"/>
        </w:rPr>
        <w:t>Unique KPI Conditions — All SRFs</w:t>
      </w:r>
    </w:p>
    <w:p>
      <w:pPr>
        <w:jc w:val="center"/>
      </w:pPr>
      <w:r>
        <w:rPr>
          <w:color w:val="606060"/>
          <w:sz w:val="22"/>
        </w:rPr>
        <w:t>SalesCom Automation Reference | Banglalink</w:t>
      </w:r>
    </w:p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1.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Index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Folder Overview &amp; SRF Summary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Campaign Type 1 — BSP CCR KPI Variable Incentive (Standard)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4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KPI Gate Evolution Table (Apr 2025 → Jan 2026+)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5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Gross Add (GA) KPI — Conditions &amp; Payout Rules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First Visit Resolution (FVR) of Core Services — KPI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7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Stock Availability / SIM Replacement KIT + GA Stock KPI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8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Toffee &amp; MyBL App Installation KPI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9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Daily Participation in GA (&amp; Recharge) KPI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10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Customer Satisfaction Score (CSAT) KPI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11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 Revision — CSAT High-Value Standalone SRF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12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Campaign Type 2 — Monobrand CCR Techno Handset Sales Incentive (Mar 2026)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13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Universal / General Conditions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14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Maturity Date &amp; Data Source Evolution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15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AIT &amp; Rounding Rules</w:t>
            </w:r>
          </w:p>
        </w:tc>
      </w:tr>
      <w:tr>
        <w:tc>
          <w:tcPr>
            <w:tcW w:type="dxa" w:w="86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16</w:t>
            </w:r>
          </w:p>
        </w:tc>
        <w:tc>
          <w:tcPr>
            <w:tcW w:type="dxa" w:w="84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Quick Reference Summary Table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2. Folder Overview &amp; SRF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Folder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Total SRFs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Campaign Types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 (KPI Variable Incentive + Monobrand CCR Handset Incentive)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Date Range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 – Mar 2026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Recipient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(Business Support Point Customer Care Representatives)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Product Type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Prepaid (incl. RYZE), Recharge, MNP, Postpaid (Handset SRF)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Report Type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Monthly Disbursement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Approval Flow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SS Approval Flow</w:t>
            </w:r>
          </w:p>
        </w:tc>
      </w:tr>
    </w:tbl>
    <w:p/>
    <w:p>
      <w:pPr>
        <w:spacing w:before="120" w:after="80"/>
      </w:pPr>
      <w:r>
        <w:rPr>
          <w:b/>
          <w:color w:val="2E74B5"/>
          <w:sz w:val="24"/>
        </w:rPr>
        <w:t>2.1 SRF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SRF Title</w:t>
            </w:r>
          </w:p>
        </w:tc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Effective From</w:t>
            </w:r>
          </w:p>
        </w:tc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Key Change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 from Apr25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New Report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GA (30%) + FVR (20%). Simple 2-KPI structure.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 from May25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2025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Change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Added Stock Availability (20%) + App Install (10%). 4-KPI structure.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 from July25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Jul 2025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Change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Same as May25. RYZE removed from GA description.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 from Oct25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Change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Full overhaul: 6-KPI structure with CSAT (15%), Daily Participation (10%), tiered slabs.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 from Jan26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Change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Revised GA slabs (93%+ base), enhanced CSAT tiers, App threshold 81.5%.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Variable_Jan26_Revision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 (Revision)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Change (Ad-hoc)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Standalone CSAT revision — only CSAT 15% weight re-specified.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CCR Incentive Campaign for Monobrand Centers_Techno Handset Sales from 12th Mar26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Mar 2026 (from 12th)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New Report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Separate handset sales incentive for 18 CCR centers. Techno Spark models.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3. Campaign Type 1 — BSP CCR KPI Variable Incentive (Standard)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Recipient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(Field Force CCR)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Base Variable Pay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 / month (performance-based)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Effective Period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 → Jan 2026 onwards (ongoing with revisions)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KPI Structure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Weighted KPI gates — must meet threshold per gate to earn that portion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ETSAF Requirement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98% ETSAF vetted and accepted by 7th of following month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Maturity Date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Apr–Jul 2025: 8th of following month | Oct 2025 onwards: 45 days after activation</w:t>
            </w:r>
          </w:p>
        </w:tc>
      </w:tr>
    </w:tbl>
    <w:p/>
    <w:p>
      <w:r>
        <w:rPr>
          <w:b/>
          <w:sz w:val="20"/>
        </w:rPr>
        <w:t xml:space="preserve">Key rule: </w:t>
      </w:r>
      <w:r>
        <w:rPr>
          <w:sz w:val="20"/>
        </w:rPr>
        <w:t>Each KPI gate has an independent threshold. If threshold is NOT met for a gate, that gate's weightage portion pays zero. Remaining gates pay at their respective achievement rates.</w:t>
      </w:r>
    </w:p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4. KPI Gate Evolution Table (Apr 2025 → Jan 2026+)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KPI Gate</w:t>
            </w:r>
          </w:p>
        </w:tc>
        <w:tc>
          <w:tcPr>
            <w:tcW w:type="dxa" w:w="156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 25</w:t>
            </w:r>
          </w:p>
        </w:tc>
        <w:tc>
          <w:tcPr>
            <w:tcW w:type="dxa" w:w="156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May 25</w:t>
            </w:r>
          </w:p>
        </w:tc>
        <w:tc>
          <w:tcPr>
            <w:tcW w:type="dxa" w:w="156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Jul 25</w:t>
            </w:r>
          </w:p>
        </w:tc>
        <w:tc>
          <w:tcPr>
            <w:tcW w:type="dxa" w:w="156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Oct 25</w:t>
            </w:r>
          </w:p>
        </w:tc>
        <w:tc>
          <w:tcPr>
            <w:tcW w:type="dxa" w:w="156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Jan 26</w:t>
            </w:r>
          </w:p>
        </w:tc>
      </w:tr>
      <w:tr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Gross Add (GA)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wt</w:t>
              <w:br/>
              <w:t>90%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wt</w:t>
              <w:br/>
              <w:t>80%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wt</w:t>
              <w:br/>
              <w:t>80%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wt</w:t>
              <w:br/>
              <w:t>80%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25% wt</w:t>
              <w:br/>
              <w:t>93% thr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First Visit Resolution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wt</w:t>
              <w:br/>
              <w:t>90%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wt</w:t>
              <w:br/>
              <w:t>90%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wt</w:t>
              <w:br/>
              <w:t>90%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90%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95% thr</w:t>
            </w:r>
          </w:p>
        </w:tc>
      </w:tr>
      <w:tr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Stock Availability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wt</w:t>
              <w:br/>
              <w:t>90%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wt</w:t>
              <w:br/>
              <w:t>90%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 wt</w:t>
              <w:br/>
              <w:t>90%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 wt</w:t>
              <w:br/>
              <w:t>90% thr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Toffee &amp; MyBL App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80%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80%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wt</w:t>
              <w:br/>
              <w:t>80%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81.5% thr</w:t>
            </w:r>
          </w:p>
        </w:tc>
      </w:tr>
      <w:tr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Daily Participation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90% thr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wt</w:t>
              <w:br/>
              <w:t>95% thr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CSAT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 wt</w:t>
              <w:br/>
              <w:t>&gt;97% thr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wt</w:t>
              <w:br/>
              <w:t>&gt;97% thr</w:t>
            </w:r>
          </w:p>
        </w:tc>
      </w:tr>
      <w:tr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TOTAL WEIGHT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50%</w:t>
              <w:br/>
              <w:t>(partial)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</w:t>
              <w:br/>
              <w:t>(partial)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</w:t>
              <w:br/>
              <w:t>(partial)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56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100%</w:t>
            </w:r>
          </w:p>
        </w:tc>
      </w:tr>
    </w:tbl>
    <w:p/>
    <w:p>
      <w:pPr>
        <w:spacing w:before="40" w:after="80"/>
        <w:ind w:left="288"/>
      </w:pPr>
      <w:r>
        <w:rPr>
          <w:i/>
          <w:color w:val="606060"/>
          <w:sz w:val="18"/>
        </w:rPr>
        <w:t>Note: Apr25 &amp; May25/Jul25 SRFs list weights for shown KPIs only — remaining 50%/20% not explicitly mapped in SRF. Oct25 onward is full 100% coverage.</w:t>
      </w:r>
    </w:p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5. Gross Add (GA) KPI — Conditions &amp; Payout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Definition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Successful activation / FCD from stipulated BSP CCR. Eligible: Prepaid (incl. RYZE in Apr25), Reactivation (Apr25), MNP.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Attribution Date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FCD (First Call Date)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ETSAF Gate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98% ETSAF must be accepted by 7th of following month (reseller app)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Target Source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Shared by Business/User team monthly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(Apr–Oct 2025) | 25% (Jan 2026+)</w:t>
            </w:r>
          </w:p>
        </w:tc>
      </w:tr>
    </w:tbl>
    <w:p/>
    <w:p>
      <w:pPr>
        <w:spacing w:before="120" w:after="80"/>
      </w:pPr>
      <w:r>
        <w:rPr>
          <w:b/>
          <w:color w:val="2E74B5"/>
          <w:sz w:val="24"/>
        </w:rPr>
        <w:t>5.1 Payout Slabs by SRF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SRF Version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Payout Structure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90%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&gt;=90% ach → full incentive. No sub-slabs mentioned. 10% kept as reserve for system issues.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&amp; Jul 25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&gt;=80% – &lt;100% = At Actual Payout (pro-rated); &gt;=100% = 100% Payout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Target Ach 15%: &lt;80%=0%; 80-84.99%=60%; 85-89.99%=70%; 90-94.99%=80%; 95-&lt;100%=90%; &gt;=100%=100%.</w:t>
              <w:br/>
              <w:t>First Recharge 15%: 60-85% ach = pro-rated; &gt;=85% = 100%. Rolling 45 days of acquisition.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93%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Target Ach 15%: &lt;93%=0%; &gt;=93% &lt;101%=95%; &gt;=101% &lt;108%=110%; &gt;=108%=120%.</w:t>
              <w:br/>
              <w:t>First Recharge 10%: 60-85% = pro-rated; &gt;=85%=100%. Rolling 45 days.</w:t>
            </w:r>
          </w:p>
        </w:tc>
      </w:tr>
    </w:tbl>
    <w:p/>
    <w:p>
      <w:pPr>
        <w:spacing w:before="40" w:after="80"/>
        <w:ind w:left="288"/>
      </w:pPr>
      <w:r>
        <w:rPr>
          <w:i/>
          <w:color w:val="606060"/>
          <w:sz w:val="18"/>
        </w:rPr>
        <w:t>Note: Oct 2025: GA KPI is split into two sub-components — Target Achievement (15%) and First Recharge (15%) — totalling 30% weight for GA gate.</w:t>
      </w:r>
    </w:p>
    <w:p>
      <w:pPr>
        <w:spacing w:before="40" w:after="80"/>
        <w:ind w:left="288"/>
      </w:pPr>
      <w:r>
        <w:rPr>
          <w:i/>
          <w:color w:val="606060"/>
          <w:sz w:val="18"/>
        </w:rPr>
        <w:t>Note: Jan 2026: GA KPI sub-components become Target Achievement (15%) and First Recharge (10%) — total 25% weight.</w:t>
      </w:r>
    </w:p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6. First Visit Resolution (FVR) of Core Services —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Definition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Agent resolves customer issue on first visit (core service categories)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Measurement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Unique work code vs. total work code for that agent on same day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Threshold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90% (Apr–Jul 2025) | 90% (Oct 2025) | 95% (Jan 2026+)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(Apr–Jul 2025) | 10% (Oct 2025 onwards)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Uniqueness Rule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Customer MSISDN considered unique for the same service on the same day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Pass condition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Unique work code count &gt;= threshold % of total actualization work code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Fail condition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Unique work code &lt; threshold % → 0% payout for this gate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System Reserve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2025: 10% of total incentive kept as reserve for system-related issues (exception notified by email)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Target Source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Shared by Business/User team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7. Stock Availability / SIM Replacement KIT + GA Stock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Applied From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2025 onwards (not present in Apr 2025 SRF)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Description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SIM Swap KIT + New SIM Kit stock availability. Also referred to as SIM Replacement KIT + GA Stock.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Threshold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90% of shared NORMS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 (May–Jul 2025) | 15% (Oct 2025 onwards)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Manual data shared by Business team until automated. Target vs achievement shared by User team monthly.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Payout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May–Jul 2025: &gt;=90% – &lt;100% = At Actual; &gt;=100% = 100%. Oct+ : Maintain sound stock as per NORMS (binary gate).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8. Toffee &amp; MyBL App Installation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Applied From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2025 onwards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Apps Covered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MyBL App + Toffee App (both required)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Target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50% of GA Target (Oct 2025+) — earlier months: separate target shared by User team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 (May–Jul 2025) | 20% (Oct 2025) | 10% (Jan 2026)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Threshold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 (May–Oct 2025) | 81.5% (Jan 2026+)</w:t>
            </w:r>
          </w:p>
        </w:tc>
      </w:tr>
    </w:tbl>
    <w:p/>
    <w:p>
      <w:pPr>
        <w:spacing w:before="120" w:after="80"/>
      </w:pPr>
      <w:r>
        <w:rPr>
          <w:b/>
          <w:color w:val="2E74B5"/>
          <w:sz w:val="24"/>
        </w:rPr>
        <w:t>8.1 Payout Slabs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SRF Version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Payout Structure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&amp; Jul 2025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&gt;=80% – &lt;100% = At Actual; &gt;=100% = 100%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&lt;80%=0%; 80-84.99%=60%; 85-89.99%=70%; 90-94.99%=80%; 95-&lt;100%=90%; &gt;=100%=100%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81.5%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&lt;81.5%=0%; 81.5-87.19%=95%; 87.2-91.59%=110%; &gt;=91.6%=120%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Installation Process (MyBL)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CCR installs MyBL App from Play Store (Android) or App Store (iOS) on customer handset using CCR's referral code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Installation Process (Toffee)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CCR installs Toffee App from Play Store (Android) or App Store (iOS) on customer handset using Toffee referral code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9. Daily Participation in GA (&amp; Recharge)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Applied From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 onwards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Threshold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90% of operational days (Oct 2025) | 95% of operational days (Jan 2026+)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Oct 2025 Rule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Agent must participate in BOTH GA &amp; Recharge activities on at least 90% of operational days in the month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Jan 2026 Rule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Agent must participate in GA on at least 95% of operational days (Recharge no longer explicitly mentioned)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Target Source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User/Business team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10. Customer Satisfaction Score (CSAT)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Applied From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 onwards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 (Oct 2025) | 30% (Jan 2026+)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Threshold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&gt;97%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Min Feedback Count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At least 20 CSAT feedbacks per month (Jan 2026+)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Target Source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Shared by User team</w:t>
            </w:r>
          </w:p>
        </w:tc>
      </w:tr>
    </w:tbl>
    <w:p/>
    <w:p>
      <w:pPr>
        <w:spacing w:before="120" w:after="80"/>
      </w:pPr>
      <w:r>
        <w:rPr>
          <w:b/>
          <w:color w:val="2E74B5"/>
          <w:sz w:val="24"/>
        </w:rPr>
        <w:t>10.1 CSAT Payout Slabs by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SRF Version</w:t>
            </w:r>
          </w:p>
        </w:tc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Score Range</w:t>
            </w:r>
          </w:p>
        </w:tc>
        <w:tc>
          <w:tcPr>
            <w:tcW w:type="dxa" w:w="23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Payout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(All agents combined)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Score &lt;97%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0% Pay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(All agents combined)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&gt;97% to &lt;=98%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 Pay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(All agents combined)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&gt;98% to &lt;=99%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100% Pay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Platinum &amp; Signature (15%)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Score &lt;98%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0% Pay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Platinum &amp; Signature (15%)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98% to &lt;=99%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 Pay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Platinum &amp; Signature (15%)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&gt;99% to &lt;=99.8%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100% Pay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Platinum &amp; Signature (15%)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&gt;99.8%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120% Pay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Overall (15%)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Score &lt;97%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0% Pay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Overall (15%)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97% to &lt;=98%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80% Pay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Overall (15%)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&gt;98% to &lt;=99.5%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100% Pay</w:t>
            </w:r>
          </w:p>
        </w:tc>
      </w:tr>
      <w:tr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Overall (15%)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&gt;99.5%</w:t>
            </w:r>
          </w:p>
        </w:tc>
        <w:tc>
          <w:tcPr>
            <w:tcW w:type="dxa" w:w="23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120% Pay</w:t>
            </w:r>
          </w:p>
        </w:tc>
      </w:tr>
    </w:tbl>
    <w:p/>
    <w:p>
      <w:pPr>
        <w:spacing w:before="40" w:after="80"/>
        <w:ind w:left="288"/>
      </w:pPr>
      <w:r>
        <w:rPr>
          <w:i/>
          <w:color w:val="606060"/>
          <w:sz w:val="18"/>
        </w:rPr>
        <w:t>Note: Jan 2026 CSAT is split into two sub-KPIs: Platinum &amp; Signature segment (15%) and Overall (15%), totalling 30% weight.</w:t>
      </w:r>
    </w:p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11. Jan 2026 Revision — CSAT High-Value Standalone SRF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SRF Title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BSP CCR KPI Variable_Jan26_Revision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Effective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01-Jan-2026 to 31-Jan-2026 (one-month ad-hoc revision)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Periodicity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Ad-hoc (not regular)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Purpose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Revise CSAT KPI specifically for Platinum and Signature agent category for January 2026 only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KPI Covered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CSAT only — 15% weight portion re-specified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CSAT Structure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Platinum &amp; Signature: &lt;98%=0%; 98-99%=80%; &gt;99-99.8%=100%; &gt;99.8%=120%</w:t>
              <w:br/>
              <w:t>(Min 20 CSAT feedbacks/month required)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Other KPIs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Not mentioned — all other KPI gates remain as per Jan26 main SRF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Maturity Date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 days after activation</w:t>
            </w:r>
          </w:p>
        </w:tc>
      </w:tr>
    </w:tbl>
    <w:p/>
    <w:p>
      <w:pPr>
        <w:spacing w:before="40" w:after="80"/>
        <w:ind w:left="288"/>
      </w:pPr>
      <w:r>
        <w:rPr>
          <w:i/>
          <w:color w:val="606060"/>
          <w:sz w:val="18"/>
        </w:rPr>
        <w:t>Note: This SRF exists to retroactively correct/revise the Jan 2026 CSAT payout rule for high-value agent segments. It does not modify GA, Stock, App, FVR or Daily Participation KPIs.</w:t>
      </w:r>
    </w:p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12. Campaign Type 2 — Monobrand CCR Techno Handset Sales Incentive (from 12 Mar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Recipient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Monobrand CCR agents at eligible centers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Product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Techno handsets sold with Banglalink SIM + proper offer tagged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Effective Date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12 March 2026 (from 12th onward)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Reporting Department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Alternate Channel and Digital Recharge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Maturity Date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1st day of next month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Product Type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BL Prepaid + BL Postpaid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Attribution Date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FCD (First Call Date) — activation during calendar month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Eligible Centers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18 initially (only centers where dedicated TechVan BP is NOT available)</w:t>
            </w:r>
          </w:p>
        </w:tc>
      </w:tr>
    </w:tbl>
    <w:p/>
    <w:p>
      <w:pPr>
        <w:spacing w:before="120" w:after="80"/>
      </w:pPr>
      <w:r>
        <w:rPr>
          <w:b/>
          <w:color w:val="2E74B5"/>
          <w:sz w:val="24"/>
        </w:rPr>
        <w:t>12.1 Handset Incentive Slabs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Handset Model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Incentive per Unit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Techno Spark 40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500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Sold with Banglalink SIM + proper offer tagged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Techno Spark GO3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400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Sold with Banglalink SIM + proper offer tagged</w:t>
            </w:r>
          </w:p>
        </w:tc>
      </w:tr>
    </w:tbl>
    <w:p/>
    <w:p>
      <w:pPr>
        <w:spacing w:before="120" w:after="80"/>
      </w:pPr>
      <w:r>
        <w:rPr>
          <w:b/>
          <w:color w:val="2E74B5"/>
          <w:sz w:val="24"/>
        </w:rPr>
        <w:t>12.2 BP Replacement &amp; Eligibility Policy</w:t>
      </w:r>
    </w:p>
    <w:p>
      <w:pPr>
        <w:pStyle w:val="ListBullet"/>
        <w:spacing w:before="20" w:after="20"/>
      </w:pPr>
      <w:r>
        <w:rPr>
          <w:sz w:val="20"/>
        </w:rPr>
        <w:t>Applicable only for 18 specified centers where dedicated TechVan BP is NOT present.</w:t>
      </w:r>
    </w:p>
    <w:p>
      <w:pPr>
        <w:pStyle w:val="ListBullet"/>
        <w:spacing w:before="20" w:after="20"/>
      </w:pPr>
      <w:r>
        <w:rPr>
          <w:sz w:val="20"/>
        </w:rPr>
        <w:t>NO new TechVan BP will be appointed for any new center (except Experience Centers such as Tiger's Den with dedicated device display table).</w:t>
      </w:r>
    </w:p>
    <w:p>
      <w:pPr>
        <w:pStyle w:val="ListBullet"/>
        <w:spacing w:before="20" w:after="20"/>
      </w:pPr>
      <w:r>
        <w:rPr>
          <w:sz w:val="20"/>
        </w:rPr>
        <w:t>If existing TechVan BP resigns: position is NOT replaced (except Experience Centers). That center's Agent/CCR becomes eligible from the resign date.</w:t>
      </w:r>
    </w:p>
    <w:p>
      <w:pPr>
        <w:pStyle w:val="ListBullet"/>
        <w:spacing w:before="20" w:after="20"/>
      </w:pPr>
      <w:r>
        <w:rPr>
          <w:sz w:val="20"/>
        </w:rPr>
        <w:t>Experience Centers MUST continue to have TechVan BP — CCRs at Experience Centers are NOT eligible for this incentive.</w:t>
      </w:r>
    </w:p>
    <w:p>
      <w:pPr>
        <w:pStyle w:val="ListBullet"/>
        <w:spacing w:before="20" w:after="20"/>
      </w:pPr>
      <w:r>
        <w:rPr>
          <w:sz w:val="20"/>
        </w:rPr>
        <w:t>Monthly eligible CCR list shared by HQ Team.</w:t>
      </w:r>
    </w:p>
    <w:p>
      <w:pPr>
        <w:spacing w:before="120" w:after="80"/>
      </w:pPr>
      <w:r>
        <w:rPr>
          <w:b/>
          <w:color w:val="2E74B5"/>
          <w:sz w:val="24"/>
        </w:rPr>
        <w:t>12.3 Eligible Center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Center Name</w:t>
            </w:r>
          </w:p>
        </w:tc>
        <w:tc>
          <w:tcPr>
            <w:tcW w:type="dxa" w:w="468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Region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Faridpur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Barisal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Kushtia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Khulna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Bogra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Bogra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Gazipur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Dhaka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Chittagong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Chittagong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Pallabi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Dhaka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Gulshan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Dhaka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Chawk Bazar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Chittagong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Rangpur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Bogra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Satkhira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Khulna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Jhenaidah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Khulna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Cox's Bazar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Chittagong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Dhanmondi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Dhaka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Shamoly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Dhaka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Jessore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Khulna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Mymensingh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Mymensingh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Comilla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Chittagong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CC Magura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Khulna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13. Universal / General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468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Value / Rule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Activation Date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FCD (First Call Date) — activation during the promotion/calendar period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ETSAF Submission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All accepted/submitted ETSAF by 8th of following month considered for commission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ETSAF Correction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Within 72 hours of submission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ETSAF Acceptance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98% must be vetted and accepted (reseller app) by 7th of following month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Valid Recharge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EV Recharge only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Valid Usage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MOC, SMSMO, MTC, SMSMT, GPRS, MMS, Partial VAS usage (IN medication CDR), GPRS recharge, bundle recharge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Disconnection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Latest data up to report maturity date (T-6)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Product Eligibility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All Prepaid + successful MNP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Rounding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General mathematical rounding: &lt;0.5 rounds down, &gt;=0.5 rounds up — applies to all KPI end achievement calculations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Input Data Sources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IT SC, DWH, DMS, POS, ED (Handset SRF), IT BI, TABS (Handset SRF)</w:t>
            </w:r>
          </w:p>
        </w:tc>
      </w:tr>
      <w:tr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Approval Flow</w:t>
            </w:r>
          </w:p>
        </w:tc>
        <w:tc>
          <w:tcPr>
            <w:tcW w:type="dxa" w:w="468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SS Approval Flow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14. Maturity Date &amp; Data Source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SRF Period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Maturity Date</w:t>
            </w:r>
          </w:p>
        </w:tc>
        <w:tc>
          <w:tcPr>
            <w:tcW w:type="dxa" w:w="312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Published Date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8th of the following month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As per tracker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2025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8th of the following month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As per tracker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Jul 2025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8th of the following month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As per tracker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 days after activation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As per tracker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 days after activation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As per tracker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 Revision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 days after activation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As per tracker</w:t>
            </w:r>
          </w:p>
        </w:tc>
      </w:tr>
      <w:tr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Mar 2026 (Handset)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1st day of next month</w:t>
            </w:r>
          </w:p>
        </w:tc>
        <w:tc>
          <w:tcPr>
            <w:tcW w:type="dxa" w:w="312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Not specified</w:t>
            </w:r>
          </w:p>
        </w:tc>
      </w:tr>
    </w:tbl>
    <w:p/>
    <w:p>
      <w:pPr>
        <w:spacing w:before="40" w:after="80"/>
        <w:ind w:left="288"/>
      </w:pPr>
      <w:r>
        <w:rPr>
          <w:i/>
          <w:color w:val="606060"/>
          <w:sz w:val="18"/>
        </w:rPr>
        <w:t>Note: Shift from 8th-of-month to 45-days-after-activation occurred with Oct 2025 SRF — aligns with First Recharge rolling 45-day window introduced in that version.</w:t>
      </w:r>
    </w:p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15. AIT &amp; Rounding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AIT (Advance Income Tax)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Applicable as per the provision of Income Tax Law — present in ALL SRFs from Apr 2025 onwards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20"/>
              </w:rPr>
              <w:t>Mathematical Rounding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General rounding: values &lt; 0.5 round down; &gt;= 0.5 round up. Applied to all KPI end achievement calculations across all SRFs.</w:t>
            </w:r>
          </w:p>
        </w:tc>
      </w:tr>
    </w:tbl>
    <w:p/>
    <w:p>
      <w:pPr>
        <w:spacing w:before="280" w:after="80"/>
        <w:pBdr>
          <w:bottom w:val="single" w:sz="6" w:space="1" w:color="1F447B"/>
        </w:pBdr>
      </w:pPr>
      <w:r>
        <w:rPr>
          <w:b/>
          <w:color w:val="1F447B"/>
          <w:sz w:val="28"/>
        </w:rPr>
        <w:t>16. Quick Reference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Base Pay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GA Wt/Thr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FVR Wt/Thr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Stock Wt/Thr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App Wt/Thr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Daily Part Wt/Thr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CSAT Wt/Thr</w:t>
            </w:r>
          </w:p>
        </w:tc>
        <w:tc>
          <w:tcPr>
            <w:tcW w:type="dxa" w:w="1040"/>
            <w:shd w:val="clear" w:color="auto" w:fill="1F447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Maturity</w:t>
            </w:r>
          </w:p>
        </w:tc>
      </w:tr>
      <w:tr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Apr 2025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30%/90%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20%/90%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8th next mo</w:t>
            </w:r>
          </w:p>
        </w:tc>
      </w:tr>
      <w:tr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May 2025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30%/80%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20%/90%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20%/90%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10%/80%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8th next mo</w:t>
            </w:r>
          </w:p>
        </w:tc>
      </w:tr>
      <w:tr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Jul 2025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30%/80%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20%/90%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20%/90%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10%/80%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8th next mo</w:t>
            </w:r>
          </w:p>
        </w:tc>
      </w:tr>
      <w:tr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Oct 2025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30%/80%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10%/90%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15%/90%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20%/80%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10%/90% days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15%/&gt;97%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45d after act</w:t>
            </w:r>
          </w:p>
        </w:tc>
      </w:tr>
      <w:tr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 2026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25%/93%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10%/95%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15%/90%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10%/81.5%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10%/95% days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30%/&gt;97%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45d after act</w:t>
            </w:r>
          </w:p>
        </w:tc>
      </w:tr>
      <w:tr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Jan26 Rev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BDT 4,000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Same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Same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Same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Same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Same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30% revised</w:t>
            </w:r>
          </w:p>
        </w:tc>
        <w:tc>
          <w:tcPr>
            <w:tcW w:type="dxa" w:w="1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45d after act</w:t>
            </w:r>
          </w:p>
        </w:tc>
      </w:tr>
      <w:tr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Mar26 Handset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Per unit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N/A</w:t>
            </w:r>
          </w:p>
        </w:tc>
        <w:tc>
          <w:tcPr>
            <w:tcW w:type="dxa" w:w="1040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0"/>
              </w:rPr>
              <w:t>1st next mo</w:t>
            </w:r>
          </w:p>
        </w:tc>
      </w:tr>
    </w:tbl>
    <w:p/>
    <w:p>
      <w:pPr>
        <w:spacing w:before="40" w:after="80"/>
        <w:ind w:left="288"/>
      </w:pPr>
      <w:r>
        <w:rPr>
          <w:i/>
          <w:color w:val="606060"/>
          <w:sz w:val="18"/>
        </w:rPr>
        <w:t>Note: Mar 2026 Handset incentive: BDT 500 (Techno Spark 40) / BDT 400 (Techno Spark GO3) per unit sold with BL SIM + proper offer tag.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